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ED69E">
      <w:pPr>
        <w:jc w:val="center"/>
        <w:rPr>
          <w:rStyle w:val="9"/>
          <w:rFonts w:ascii="方正小标宋简体" w:eastAsia="方正小标宋简体"/>
          <w:color w:val="000000"/>
          <w:sz w:val="36"/>
          <w:szCs w:val="36"/>
        </w:rPr>
      </w:pPr>
      <w:r>
        <w:rPr>
          <w:rStyle w:val="9"/>
          <w:rFonts w:hint="eastAsia" w:ascii="方正小标宋简体" w:eastAsia="方正小标宋简体"/>
          <w:color w:val="000000"/>
          <w:sz w:val="36"/>
          <w:szCs w:val="36"/>
        </w:rPr>
        <w:t>中国产学研合作促进会科技创新奖</w:t>
      </w:r>
      <w:r>
        <w:rPr>
          <w:rStyle w:val="9"/>
          <w:rFonts w:ascii="方正小标宋简体" w:eastAsia="方正小标宋简体"/>
          <w:color w:val="000000"/>
          <w:sz w:val="36"/>
          <w:szCs w:val="36"/>
        </w:rPr>
        <w:t>公示信息表</w:t>
      </w:r>
    </w:p>
    <w:p w14:paraId="72FC4A8E">
      <w:pPr>
        <w:jc w:val="center"/>
        <w:rPr>
          <w:rStyle w:val="9"/>
          <w:rFonts w:ascii="方正小标宋简体" w:eastAsia="方正小标宋简体"/>
          <w:bCs w:val="0"/>
          <w:color w:val="000000"/>
          <w:sz w:val="36"/>
          <w:szCs w:val="36"/>
        </w:rPr>
      </w:pPr>
      <w:r>
        <w:rPr>
          <w:rStyle w:val="9"/>
          <w:rFonts w:hint="eastAsia" w:ascii="仿宋_GB2312" w:eastAsia="仿宋_GB2312"/>
          <w:color w:val="000000"/>
          <w:sz w:val="32"/>
          <w:szCs w:val="32"/>
        </w:rPr>
        <w:t>（单位提名）</w:t>
      </w:r>
    </w:p>
    <w:p w14:paraId="53C51DA6">
      <w:pPr>
        <w:spacing w:line="440" w:lineRule="exact"/>
        <w:rPr>
          <w:rFonts w:hint="eastAsia" w:ascii="仿宋_GB2312" w:hAnsi="仿宋" w:eastAsia="仿宋_GB2312" w:cs="仿宋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提名奖项：创新成果奖</w:t>
      </w:r>
    </w:p>
    <w:tbl>
      <w:tblPr>
        <w:tblStyle w:val="6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6708"/>
      </w:tblGrid>
      <w:tr w14:paraId="43268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98" w:type="dxa"/>
            <w:vAlign w:val="center"/>
          </w:tcPr>
          <w:p w14:paraId="4C0F5114">
            <w:pPr>
              <w:jc w:val="center"/>
              <w:rPr>
                <w:rStyle w:val="9"/>
                <w:rFonts w:hint="eastAsia"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9"/>
                <w:rFonts w:hint="eastAsia" w:ascii="仿宋_GB2312" w:hAnsi="仿宋" w:eastAsia="仿宋_GB2312" w:cs="仿宋"/>
                <w:color w:val="000000"/>
                <w:sz w:val="28"/>
              </w:rPr>
              <w:t>成果名称</w:t>
            </w:r>
          </w:p>
        </w:tc>
        <w:tc>
          <w:tcPr>
            <w:tcW w:w="6708" w:type="dxa"/>
            <w:vAlign w:val="center"/>
          </w:tcPr>
          <w:p w14:paraId="02A65C10">
            <w:pPr>
              <w:jc w:val="center"/>
              <w:rPr>
                <w:rStyle w:val="9"/>
                <w:rFonts w:hint="eastAsia"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9"/>
                <w:rFonts w:hint="eastAsia" w:ascii="仿宋_GB2312" w:hAnsi="仿宋" w:eastAsia="仿宋_GB2312" w:cs="仿宋"/>
                <w:b w:val="0"/>
                <w:color w:val="000000"/>
                <w:sz w:val="28"/>
              </w:rPr>
              <w:t>ORPF离子交换纤维分布式精准除臭关键技术及应用</w:t>
            </w:r>
          </w:p>
        </w:tc>
      </w:tr>
      <w:tr w14:paraId="22B15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98" w:type="dxa"/>
            <w:vAlign w:val="center"/>
          </w:tcPr>
          <w:p w14:paraId="37DFB90A">
            <w:pPr>
              <w:jc w:val="center"/>
              <w:rPr>
                <w:rStyle w:val="9"/>
                <w:rFonts w:hint="eastAsia"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9"/>
                <w:rFonts w:hint="eastAsia" w:ascii="仿宋_GB2312" w:hAnsi="仿宋" w:eastAsia="仿宋_GB2312" w:cs="仿宋"/>
                <w:color w:val="000000"/>
                <w:sz w:val="28"/>
              </w:rPr>
              <w:t>提名等级</w:t>
            </w:r>
          </w:p>
        </w:tc>
        <w:tc>
          <w:tcPr>
            <w:tcW w:w="6708" w:type="dxa"/>
            <w:vAlign w:val="center"/>
          </w:tcPr>
          <w:p w14:paraId="1CCA948B">
            <w:pPr>
              <w:jc w:val="center"/>
              <w:rPr>
                <w:rStyle w:val="9"/>
                <w:rFonts w:hint="eastAsia"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9"/>
                <w:rFonts w:hint="eastAsia" w:ascii="仿宋_GB2312" w:hAnsi="仿宋" w:eastAsia="仿宋_GB2312" w:cs="仿宋"/>
                <w:b w:val="0"/>
                <w:color w:val="000000"/>
                <w:sz w:val="28"/>
              </w:rPr>
              <w:t>二等奖</w:t>
            </w:r>
            <w:bookmarkStart w:id="1" w:name="_GoBack"/>
            <w:bookmarkEnd w:id="1"/>
          </w:p>
        </w:tc>
      </w:tr>
      <w:tr w14:paraId="3D1BE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1798" w:type="dxa"/>
            <w:vAlign w:val="center"/>
          </w:tcPr>
          <w:p w14:paraId="099C4006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提名书</w:t>
            </w:r>
          </w:p>
          <w:p w14:paraId="4A50EC63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相关内容</w:t>
            </w:r>
          </w:p>
        </w:tc>
        <w:tc>
          <w:tcPr>
            <w:tcW w:w="6708" w:type="dxa"/>
            <w:vAlign w:val="center"/>
          </w:tcPr>
          <w:p w14:paraId="1D897360">
            <w:pPr>
              <w:spacing w:line="440" w:lineRule="exact"/>
              <w:jc w:val="lef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详见附件。</w:t>
            </w:r>
          </w:p>
        </w:tc>
      </w:tr>
      <w:tr w14:paraId="451F5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798" w:type="dxa"/>
            <w:tcBorders>
              <w:right w:val="single" w:color="auto" w:sz="4" w:space="0"/>
            </w:tcBorders>
            <w:vAlign w:val="center"/>
          </w:tcPr>
          <w:p w14:paraId="71CB0E92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主要完成人</w:t>
            </w:r>
          </w:p>
        </w:tc>
        <w:tc>
          <w:tcPr>
            <w:tcW w:w="6708" w:type="dxa"/>
            <w:tcBorders>
              <w:left w:val="single" w:color="auto" w:sz="4" w:space="0"/>
            </w:tcBorders>
            <w:vAlign w:val="center"/>
          </w:tcPr>
          <w:p w14:paraId="561A2C38">
            <w:pPr>
              <w:spacing w:line="440" w:lineRule="exact"/>
              <w:jc w:val="left"/>
              <w:rPr>
                <w:rFonts w:hint="default" w:ascii="仿宋_GB2312" w:hAnsi="仿宋" w:eastAsia="宋体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E83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798" w:type="dxa"/>
            <w:tcBorders>
              <w:right w:val="single" w:color="auto" w:sz="4" w:space="0"/>
            </w:tcBorders>
            <w:vAlign w:val="center"/>
          </w:tcPr>
          <w:p w14:paraId="5D5228DA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主要完成单位</w:t>
            </w:r>
          </w:p>
        </w:tc>
        <w:tc>
          <w:tcPr>
            <w:tcW w:w="6708" w:type="dxa"/>
            <w:tcBorders>
              <w:left w:val="single" w:color="auto" w:sz="4" w:space="0"/>
            </w:tcBorders>
            <w:vAlign w:val="center"/>
          </w:tcPr>
          <w:p w14:paraId="33F620BE">
            <w:pPr>
              <w:spacing w:line="440" w:lineRule="exact"/>
              <w:jc w:val="lef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1.单位名称：长江师范学院</w:t>
            </w:r>
          </w:p>
          <w:p w14:paraId="7AB2372E">
            <w:pPr>
              <w:spacing w:line="440" w:lineRule="exact"/>
              <w:jc w:val="lef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2.单位名称：郑州益源天泽环境科技有限公司</w:t>
            </w:r>
          </w:p>
          <w:p w14:paraId="5850D42A">
            <w:pPr>
              <w:spacing w:line="440" w:lineRule="exact"/>
              <w:jc w:val="left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3.单位名称：中国科学院重庆绿色智能技术研究院</w:t>
            </w:r>
          </w:p>
        </w:tc>
      </w:tr>
      <w:tr w14:paraId="63FA7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98" w:type="dxa"/>
            <w:vAlign w:val="center"/>
          </w:tcPr>
          <w:p w14:paraId="7BB670A2">
            <w:pPr>
              <w:jc w:val="center"/>
              <w:rPr>
                <w:rStyle w:val="9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9"/>
                <w:rFonts w:hint="eastAsia" w:ascii="仿宋_GB2312" w:eastAsia="仿宋_GB2312"/>
                <w:color w:val="000000"/>
                <w:sz w:val="28"/>
                <w:szCs w:val="28"/>
              </w:rPr>
              <w:t>提名单位</w:t>
            </w:r>
          </w:p>
        </w:tc>
        <w:tc>
          <w:tcPr>
            <w:tcW w:w="6708" w:type="dxa"/>
            <w:vAlign w:val="center"/>
          </w:tcPr>
          <w:p w14:paraId="210BFD20">
            <w:pPr>
              <w:jc w:val="center"/>
              <w:rPr>
                <w:rStyle w:val="9"/>
                <w:b w:val="0"/>
                <w:color w:val="000000"/>
              </w:rPr>
            </w:pPr>
            <w:r>
              <w:rPr>
                <w:rFonts w:ascii="仿宋_GB2312" w:hAnsi="仿宋" w:eastAsia="仿宋_GB2312" w:cs="仿宋"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长江师范学院</w:t>
            </w:r>
          </w:p>
        </w:tc>
      </w:tr>
      <w:tr w14:paraId="20BD2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798" w:type="dxa"/>
            <w:vAlign w:val="center"/>
          </w:tcPr>
          <w:p w14:paraId="1B585E03">
            <w:pPr>
              <w:jc w:val="center"/>
              <w:rPr>
                <w:rStyle w:val="9"/>
                <w:rFonts w:ascii="仿宋_GB2312" w:eastAsia="仿宋_GB2312"/>
                <w:b w:val="0"/>
                <w:color w:val="FF0000"/>
                <w:sz w:val="28"/>
                <w:szCs w:val="28"/>
              </w:rPr>
            </w:pPr>
            <w:r>
              <w:rPr>
                <w:rStyle w:val="9"/>
                <w:rFonts w:hint="eastAsia" w:ascii="仿宋_GB2312"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708" w:type="dxa"/>
            <w:vAlign w:val="center"/>
          </w:tcPr>
          <w:p w14:paraId="5E79950C">
            <w:pPr>
              <w:ind w:firstLine="480" w:firstLineChars="200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该成果将智能控制与大气污染治理有效集成的技术手段形成跨领域、智能化的应用场景，技术设计理念先进，方案针对性强。这一创新技术颠覆了传统恶臭处理技术（物理法不彻底、化学法高成本易二次污染、生物法效率低受环境制约）的核心痛点，以及传统除臭设备能耗高（较传统技术节能 95% 以上）、体积大（整机净重下降 88%）、风阻高（降低 50%）、维护复杂等困境，解决了恶臭污染场景（如市政、工业、农业）中污染物成分复杂难处理、设备适配性差、运行成本高、二次污染风险大等行业难题，成果整体达到国内先进水平。在 ORPF 离子交换纤维“吸附 - 催化降解”双重功能开发与分布式精准除臭一体化应用方面达到国内领先水平。</w:t>
            </w:r>
          </w:p>
          <w:p w14:paraId="05D799D3">
            <w:pPr>
              <w:ind w:firstLine="480" w:firstLineChars="200"/>
              <w:rPr>
                <w:rFonts w:ascii="仿宋_GB2312" w:hAnsi="仿宋" w:eastAsia="仿宋_GB2312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该成果紧密结合我国环保治理与绿色低碳发展的迫切需求，通过 ORPF 核心技术与智能化控制系统融合，形成“按需净化、原位再生、近零排放”的分布式恶臭治理模式，对改善我国大气环境质量、推动环保产业技术升级具有重要意义，并成功应用于全国 20 多个污水处理、垃圾处理、畜禽养殖等实际工程，近三年实现产值5.58 亿元，社会、环境和经济效益显著，具有广阔的推广应用前景。</w:t>
            </w:r>
          </w:p>
          <w:p w14:paraId="3D23C804">
            <w:pPr>
              <w:rPr>
                <w:rStyle w:val="9"/>
                <w:rFonts w:hint="eastAsia" w:ascii="仿宋_GB2312" w:hAnsi="仿宋" w:eastAsia="仿宋_GB2312" w:cs="仿宋"/>
                <w:b w:val="0"/>
                <w:bCs w:val="0"/>
                <w:color w:val="FF0000"/>
              </w:rPr>
            </w:pPr>
            <w:r>
              <w:rPr>
                <w:rFonts w:ascii="仿宋_GB2312" w:hAnsi="仿宋" w:eastAsia="仿宋_GB2312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提名该成果为</w:t>
            </w:r>
            <w:r>
              <w:rPr>
                <w:rFonts w:hint="eastAsia" w:ascii="仿宋_GB2312" w:hAnsi="仿宋" w:eastAsia="仿宋_GB2312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中国产学研合作促进会科技创新成果奖</w:t>
            </w:r>
            <w:r>
              <w:rPr>
                <w:rFonts w:ascii="仿宋_GB2312" w:hAnsi="仿宋" w:eastAsia="仿宋_GB2312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二等奖。</w:t>
            </w:r>
          </w:p>
        </w:tc>
      </w:tr>
    </w:tbl>
    <w:p w14:paraId="12905520">
      <w:pPr>
        <w:rPr>
          <w:color w:val="FF0000"/>
        </w:rPr>
      </w:pPr>
    </w:p>
    <w:p w14:paraId="461E7A53">
      <w:pPr>
        <w:widowControl/>
        <w:jc w:val="left"/>
        <w:rPr>
          <w:color w:val="FF0000"/>
        </w:rPr>
      </w:pPr>
      <w:r>
        <w:rPr>
          <w:color w:val="FF0000"/>
        </w:rPr>
        <w:br w:type="page"/>
      </w:r>
    </w:p>
    <w:p w14:paraId="1A47A9DB">
      <w:pPr>
        <w:pStyle w:val="3"/>
        <w:jc w:val="left"/>
        <w:rPr>
          <w:rFonts w:hint="eastAsia" w:ascii="方正黑体简体" w:hAnsi="宋体" w:eastAsia="方正黑体简体"/>
          <w:color w:val="FF0000"/>
          <w:sz w:val="32"/>
          <w:szCs w:val="22"/>
        </w:rPr>
        <w:sectPr>
          <w:pgSz w:w="11906" w:h="16838"/>
          <w:pgMar w:top="1440" w:right="1276" w:bottom="1440" w:left="1797" w:header="709" w:footer="709" w:gutter="0"/>
          <w:cols w:space="708" w:num="1"/>
          <w:docGrid w:linePitch="360" w:charSpace="0"/>
        </w:sectPr>
      </w:pPr>
    </w:p>
    <w:p w14:paraId="4A4BF905">
      <w:pPr>
        <w:pStyle w:val="3"/>
        <w:jc w:val="left"/>
        <w:rPr>
          <w:rFonts w:hint="eastAsia" w:ascii="黑体" w:hAnsi="黑体" w:eastAsia="黑体"/>
          <w:color w:val="auto"/>
          <w:sz w:val="32"/>
          <w:szCs w:val="22"/>
        </w:rPr>
      </w:pPr>
      <w:r>
        <w:rPr>
          <w:rFonts w:hint="eastAsia" w:ascii="黑体" w:hAnsi="黑体" w:eastAsia="黑体"/>
          <w:color w:val="auto"/>
          <w:sz w:val="32"/>
          <w:szCs w:val="22"/>
        </w:rPr>
        <w:t>附件1：                       主要知识产权和标准规范目录</w:t>
      </w:r>
    </w:p>
    <w:tbl>
      <w:tblPr>
        <w:tblStyle w:val="6"/>
        <w:tblW w:w="14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629"/>
        <w:gridCol w:w="978"/>
        <w:gridCol w:w="1317"/>
        <w:gridCol w:w="1257"/>
        <w:gridCol w:w="1272"/>
        <w:gridCol w:w="3323"/>
        <w:gridCol w:w="1145"/>
        <w:gridCol w:w="1275"/>
      </w:tblGrid>
      <w:tr w14:paraId="2F8D7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D1313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知识产权</w:t>
            </w:r>
          </w:p>
          <w:p w14:paraId="27F1AD13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（标准规范）类别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97E53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知识产权（标准规范）具体名称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040D9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国家</w:t>
            </w:r>
          </w:p>
          <w:p w14:paraId="508480B3">
            <w:pPr>
              <w:jc w:val="center"/>
              <w:rPr>
                <w:rFonts w:hint="eastAsia" w:ascii="仿宋_GB2312" w:hAnsi="宋体" w:eastAsia="仿宋_GB2312"/>
                <w:bCs/>
                <w:snapToGrid w:val="0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（地区）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A31E4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授权号</w:t>
            </w:r>
          </w:p>
          <w:p w14:paraId="6768A9A7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（标准规范编号）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163DB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授权</w:t>
            </w:r>
          </w:p>
          <w:p w14:paraId="28A08986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（标准发布）</w:t>
            </w:r>
          </w:p>
          <w:p w14:paraId="31C89FAA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20942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证书编号（标准规范批准发布部门）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A1445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权利人（标准规范起草单位）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89F76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发明人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A7092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发明专利（标准规范）有效状态</w:t>
            </w:r>
          </w:p>
        </w:tc>
      </w:tr>
      <w:tr w14:paraId="25FDC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D2131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F41E6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一种活性颗粒污泥循环分离筛选设备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FDA03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1C8EA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ZL202010473122.8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5946D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20220308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BBDCB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982568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CBDF6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郑州益源天泽环境科技有限公司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03619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姚学同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82B9A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授权</w:t>
            </w:r>
          </w:p>
        </w:tc>
      </w:tr>
      <w:tr w14:paraId="1C129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F72C2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实用新型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23F77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一种一体化便携型气体净化设备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97A8C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EF6D3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Z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L202022421250.6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FA556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0201027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6C649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3880964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1A387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郑州益源天泽环境科技有限公司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B570D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王建设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73B81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授权</w:t>
            </w:r>
          </w:p>
        </w:tc>
      </w:tr>
      <w:tr w14:paraId="60EB4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347DE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实用新型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8ED63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一种低阻力曝气管支架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7AB70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88B33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ZL201820439420.3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1277B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20190101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44837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8299831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3381B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郑州益源天泽环境科技有限公司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C1A48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王建设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91804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授权</w:t>
            </w:r>
          </w:p>
        </w:tc>
      </w:tr>
      <w:tr w14:paraId="6FDB8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24036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实用新型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636ED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一种具有搅拌推流功能的气体装置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5FDBD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3F4C2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ZL201820438639.1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179AF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20190101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62C27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8287029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8BE7E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郑州益源天泽环境科技有限公司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0B805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王建设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08642">
            <w:pPr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授权</w:t>
            </w:r>
          </w:p>
        </w:tc>
      </w:tr>
    </w:tbl>
    <w:p w14:paraId="54085174">
      <w:pPr>
        <w:spacing w:before="120" w:beforeLines="50"/>
        <w:ind w:firstLine="480" w:firstLineChars="200"/>
        <w:rPr>
          <w:rFonts w:eastAsia="仿宋_GB2312"/>
          <w:color w:val="FF0000"/>
          <w:sz w:val="24"/>
        </w:rPr>
      </w:pPr>
    </w:p>
    <w:p w14:paraId="5E29AF92">
      <w:pPr>
        <w:widowControl/>
        <w:jc w:val="left"/>
        <w:rPr>
          <w:rFonts w:eastAsia="仿宋_GB2312"/>
          <w:sz w:val="24"/>
        </w:rPr>
        <w:sectPr>
          <w:pgSz w:w="16838" w:h="11906" w:orient="landscape"/>
          <w:pgMar w:top="1797" w:right="1440" w:bottom="1276" w:left="1440" w:header="709" w:footer="709" w:gutter="0"/>
          <w:cols w:space="708" w:num="1"/>
          <w:docGrid w:linePitch="360" w:charSpace="0"/>
        </w:sectPr>
      </w:pPr>
    </w:p>
    <w:p w14:paraId="00416B7B">
      <w:pPr>
        <w:pStyle w:val="3"/>
        <w:jc w:val="left"/>
        <w:rPr>
          <w:rFonts w:hint="eastAsia" w:ascii="黑体" w:hAnsi="黑体" w:eastAsia="黑体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附件2：          代表性论文（专著）目录</w:t>
      </w:r>
    </w:p>
    <w:tbl>
      <w:tblPr>
        <w:tblStyle w:val="6"/>
        <w:tblW w:w="9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629"/>
        <w:gridCol w:w="1537"/>
        <w:gridCol w:w="1339"/>
        <w:gridCol w:w="1417"/>
        <w:gridCol w:w="1267"/>
        <w:gridCol w:w="760"/>
        <w:gridCol w:w="704"/>
      </w:tblGrid>
      <w:tr w14:paraId="1378E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Align w:val="center"/>
          </w:tcPr>
          <w:p w14:paraId="6A90994E">
            <w:pPr>
              <w:snapToGrid w:val="0"/>
              <w:ind w:right="6"/>
              <w:jc w:val="center"/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29" w:type="dxa"/>
            <w:vAlign w:val="center"/>
          </w:tcPr>
          <w:p w14:paraId="48562F82">
            <w:pPr>
              <w:snapToGrid w:val="0"/>
              <w:ind w:right="6"/>
              <w:jc w:val="center"/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论文题目</w:t>
            </w:r>
          </w:p>
        </w:tc>
        <w:tc>
          <w:tcPr>
            <w:tcW w:w="1537" w:type="dxa"/>
            <w:vAlign w:val="center"/>
          </w:tcPr>
          <w:p w14:paraId="2D6976D4">
            <w:pPr>
              <w:snapToGrid w:val="0"/>
              <w:ind w:right="6"/>
              <w:jc w:val="center"/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所有作者（通讯作者请标注*）</w:t>
            </w:r>
          </w:p>
        </w:tc>
        <w:tc>
          <w:tcPr>
            <w:tcW w:w="1339" w:type="dxa"/>
            <w:vAlign w:val="center"/>
          </w:tcPr>
          <w:p w14:paraId="42006C5F">
            <w:pPr>
              <w:snapToGrid w:val="0"/>
              <w:ind w:right="6"/>
              <w:jc w:val="center"/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期刊名称</w:t>
            </w:r>
          </w:p>
        </w:tc>
        <w:tc>
          <w:tcPr>
            <w:tcW w:w="1417" w:type="dxa"/>
            <w:vAlign w:val="center"/>
          </w:tcPr>
          <w:p w14:paraId="254A4BAF">
            <w:pPr>
              <w:snapToGrid w:val="0"/>
              <w:ind w:right="6"/>
              <w:jc w:val="center"/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年份、卷期及页码</w:t>
            </w:r>
          </w:p>
        </w:tc>
        <w:tc>
          <w:tcPr>
            <w:tcW w:w="1267" w:type="dxa"/>
            <w:vAlign w:val="center"/>
          </w:tcPr>
          <w:p w14:paraId="2E4643E1">
            <w:pPr>
              <w:snapToGrid w:val="0"/>
              <w:ind w:right="6"/>
              <w:jc w:val="center"/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被SCI、EI、ISTP收录情况 </w:t>
            </w:r>
          </w:p>
        </w:tc>
        <w:tc>
          <w:tcPr>
            <w:tcW w:w="760" w:type="dxa"/>
            <w:vAlign w:val="center"/>
          </w:tcPr>
          <w:p w14:paraId="58A6D745">
            <w:pPr>
              <w:snapToGrid w:val="0"/>
              <w:ind w:right="6"/>
              <w:jc w:val="center"/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影响因子</w:t>
            </w:r>
          </w:p>
        </w:tc>
        <w:tc>
          <w:tcPr>
            <w:tcW w:w="704" w:type="dxa"/>
            <w:vAlign w:val="center"/>
          </w:tcPr>
          <w:p w14:paraId="139D4551">
            <w:pPr>
              <w:snapToGrid w:val="0"/>
              <w:ind w:right="6"/>
              <w:jc w:val="center"/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他引次数</w:t>
            </w:r>
          </w:p>
        </w:tc>
      </w:tr>
      <w:tr w14:paraId="274E0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Align w:val="center"/>
          </w:tcPr>
          <w:p w14:paraId="1F4307A7">
            <w:pPr>
              <w:snapToGrid w:val="0"/>
              <w:spacing w:line="336" w:lineRule="auto"/>
              <w:jc w:val="center"/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29" w:type="dxa"/>
            <w:vAlign w:val="center"/>
          </w:tcPr>
          <w:p w14:paraId="69896549"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一种基于模型的模糊集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-OWA方法在综合空气污染风险评估中的应用</w:t>
            </w:r>
          </w:p>
        </w:tc>
        <w:tc>
          <w:tcPr>
            <w:tcW w:w="1537" w:type="dxa"/>
            <w:vAlign w:val="center"/>
          </w:tcPr>
          <w:p w14:paraId="56FF96A2"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王宝珍、陈志*</w:t>
            </w:r>
          </w:p>
        </w:tc>
        <w:tc>
          <w:tcPr>
            <w:tcW w:w="1339" w:type="dxa"/>
            <w:vAlign w:val="center"/>
          </w:tcPr>
          <w:p w14:paraId="26429B05"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Stochastic Environmental Research and Risk Assessment</w:t>
            </w:r>
          </w:p>
        </w:tc>
        <w:tc>
          <w:tcPr>
            <w:tcW w:w="1417" w:type="dxa"/>
            <w:vAlign w:val="center"/>
          </w:tcPr>
          <w:p w14:paraId="6441E44F"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015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）：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1413-1426</w:t>
            </w:r>
          </w:p>
        </w:tc>
        <w:tc>
          <w:tcPr>
            <w:tcW w:w="1267" w:type="dxa"/>
            <w:vAlign w:val="center"/>
          </w:tcPr>
          <w:p w14:paraId="4EE08E34"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"http://www.sciencedirect.com/science/article/pii/S0048969715308408" \t "_blank" </w:instrText>
            </w:r>
            <w:r>
              <w:fldChar w:fldCharType="separate"/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SCI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、S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SCI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760" w:type="dxa"/>
            <w:vAlign w:val="center"/>
          </w:tcPr>
          <w:p w14:paraId="17BC4320">
            <w:pPr>
              <w:snapToGrid w:val="0"/>
              <w:spacing w:line="336" w:lineRule="auto"/>
              <w:ind w:right="6" w:rightChars="0"/>
              <w:jc w:val="center"/>
              <w:rPr>
                <w:rFonts w:hint="default" w:ascii="仿宋_GB2312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3.6</w:t>
            </w:r>
          </w:p>
        </w:tc>
        <w:tc>
          <w:tcPr>
            <w:tcW w:w="704" w:type="dxa"/>
            <w:vAlign w:val="center"/>
          </w:tcPr>
          <w:p w14:paraId="2C67DB1F">
            <w:pPr>
              <w:snapToGrid w:val="0"/>
              <w:spacing w:line="336" w:lineRule="auto"/>
              <w:ind w:right="6" w:rightChars="0"/>
              <w:jc w:val="center"/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9</w:t>
            </w:r>
          </w:p>
        </w:tc>
      </w:tr>
      <w:tr w14:paraId="1669D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Align w:val="center"/>
          </w:tcPr>
          <w:p w14:paraId="78408FF6">
            <w:pPr>
              <w:snapToGrid w:val="0"/>
              <w:spacing w:line="336" w:lineRule="auto"/>
              <w:jc w:val="center"/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29" w:type="dxa"/>
            <w:vAlign w:val="center"/>
          </w:tcPr>
          <w:p w14:paraId="5FDFB7B1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中国四川盆地秋冬季以生物源挥发性有机物为主</w:t>
            </w: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近地表臭氧生成</w:t>
            </w:r>
          </w:p>
        </w:tc>
        <w:tc>
          <w:tcPr>
            <w:tcW w:w="1537" w:type="dxa"/>
            <w:vAlign w:val="center"/>
          </w:tcPr>
          <w:p w14:paraId="34E0EB3B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黄大胜、李青、韩艳、夏世勇、周佳伟、车汉雄、卢珂鼎、杨福模、龙鑫、陈阳</w:t>
            </w: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339" w:type="dxa"/>
            <w:vAlign w:val="center"/>
          </w:tcPr>
          <w:p w14:paraId="4D2AA5AD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"https://www.sciencedirect.com/journal/journal-of-environmental-sciences" \o "Go to Journal of Environmental Sciences on ScienceDirect" </w:instrText>
            </w:r>
            <w:r>
              <w:rPr>
                <w:rFonts w:hint="default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Journal of Environmental Sciences</w:t>
            </w:r>
            <w:r>
              <w:rPr>
                <w:rFonts w:hint="default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822C505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141</w:t>
            </w: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215-224</w:t>
            </w:r>
          </w:p>
        </w:tc>
        <w:tc>
          <w:tcPr>
            <w:tcW w:w="1267" w:type="dxa"/>
            <w:vAlign w:val="center"/>
          </w:tcPr>
          <w:p w14:paraId="68ED5596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"http://www.sciencedirect.com/science/article/pii/S0048969715308408" \t "_blank" </w:instrTex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SCI、SSCI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760" w:type="dxa"/>
            <w:vAlign w:val="center"/>
          </w:tcPr>
          <w:p w14:paraId="73F95699">
            <w:pPr>
              <w:snapToGrid w:val="0"/>
              <w:spacing w:line="336" w:lineRule="auto"/>
              <w:ind w:right="6"/>
              <w:jc w:val="center"/>
              <w:rPr>
                <w:rFonts w:hint="default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6.3</w:t>
            </w:r>
          </w:p>
        </w:tc>
        <w:tc>
          <w:tcPr>
            <w:tcW w:w="704" w:type="dxa"/>
            <w:vAlign w:val="center"/>
          </w:tcPr>
          <w:p w14:paraId="3F7C1621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779A3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Align w:val="center"/>
          </w:tcPr>
          <w:p w14:paraId="75258807">
            <w:pPr>
              <w:snapToGrid w:val="0"/>
              <w:spacing w:line="336" w:lineRule="auto"/>
              <w:jc w:val="center"/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29" w:type="dxa"/>
            <w:vAlign w:val="center"/>
          </w:tcPr>
          <w:p w14:paraId="3BE067B5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卫星反演的地面NO2浓度与 GMSMB 模型结果及实地监测值的相互验证——一项北美研究案例</w:t>
            </w:r>
          </w:p>
        </w:tc>
        <w:tc>
          <w:tcPr>
            <w:tcW w:w="1537" w:type="dxa"/>
            <w:vAlign w:val="center"/>
          </w:tcPr>
          <w:p w14:paraId="2AF76BA3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王宝珍、陈志*</w:t>
            </w:r>
          </w:p>
        </w:tc>
        <w:tc>
          <w:tcPr>
            <w:tcW w:w="1339" w:type="dxa"/>
            <w:vAlign w:val="center"/>
          </w:tcPr>
          <w:p w14:paraId="70E920BB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Environmental Pollution</w:t>
            </w:r>
          </w:p>
        </w:tc>
        <w:tc>
          <w:tcPr>
            <w:tcW w:w="1417" w:type="dxa"/>
            <w:vAlign w:val="center"/>
          </w:tcPr>
          <w:p w14:paraId="3A99A1F1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2013, 181, 172-181</w:t>
            </w:r>
          </w:p>
        </w:tc>
        <w:tc>
          <w:tcPr>
            <w:tcW w:w="1267" w:type="dxa"/>
            <w:vAlign w:val="center"/>
          </w:tcPr>
          <w:p w14:paraId="32E665B4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"http://www.sciencedirect.com/science/article/pii/S0048969715308408" \t "_blank" </w:instrTex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SCI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760" w:type="dxa"/>
            <w:vAlign w:val="center"/>
          </w:tcPr>
          <w:p w14:paraId="4BD88B59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7.3</w:t>
            </w:r>
          </w:p>
        </w:tc>
        <w:tc>
          <w:tcPr>
            <w:tcW w:w="704" w:type="dxa"/>
            <w:vAlign w:val="center"/>
          </w:tcPr>
          <w:p w14:paraId="4D66B0D2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2EB61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Align w:val="center"/>
          </w:tcPr>
          <w:p w14:paraId="72A8AC03">
            <w:pPr>
              <w:snapToGrid w:val="0"/>
              <w:spacing w:line="336" w:lineRule="auto"/>
              <w:jc w:val="center"/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29" w:type="dxa"/>
            <w:vAlign w:val="center"/>
          </w:tcPr>
          <w:p w14:paraId="4BDBEBFF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建筑工业空气污染排放和环境影响评价与管理</w:t>
            </w:r>
          </w:p>
        </w:tc>
        <w:tc>
          <w:tcPr>
            <w:tcW w:w="1537" w:type="dxa"/>
            <w:vAlign w:val="center"/>
          </w:tcPr>
          <w:p w14:paraId="4EF967AF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王宝珍*、朱振华、杨恩德、陈志、王祥洪</w:t>
            </w:r>
          </w:p>
        </w:tc>
        <w:tc>
          <w:tcPr>
            <w:tcW w:w="1339" w:type="dxa"/>
            <w:vAlign w:val="center"/>
          </w:tcPr>
          <w:p w14:paraId="510B7A71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Journal of Environmental Planning and Management</w:t>
            </w:r>
          </w:p>
        </w:tc>
        <w:tc>
          <w:tcPr>
            <w:tcW w:w="1417" w:type="dxa"/>
            <w:vAlign w:val="center"/>
          </w:tcPr>
          <w:p w14:paraId="40652109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2018, 61(14), 2421-2444</w:t>
            </w:r>
          </w:p>
        </w:tc>
        <w:tc>
          <w:tcPr>
            <w:tcW w:w="1267" w:type="dxa"/>
            <w:vAlign w:val="center"/>
          </w:tcPr>
          <w:p w14:paraId="02B123E6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SSCI</w:t>
            </w:r>
          </w:p>
        </w:tc>
        <w:tc>
          <w:tcPr>
            <w:tcW w:w="760" w:type="dxa"/>
            <w:vAlign w:val="center"/>
          </w:tcPr>
          <w:p w14:paraId="60BAE8EC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4.4</w:t>
            </w:r>
          </w:p>
        </w:tc>
        <w:tc>
          <w:tcPr>
            <w:tcW w:w="704" w:type="dxa"/>
            <w:vAlign w:val="center"/>
          </w:tcPr>
          <w:p w14:paraId="7D8692AE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2D504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Align w:val="center"/>
          </w:tcPr>
          <w:p w14:paraId="19E130B6">
            <w:pPr>
              <w:snapToGrid w:val="0"/>
              <w:spacing w:line="336" w:lineRule="auto"/>
              <w:jc w:val="center"/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29" w:type="dxa"/>
            <w:vAlign w:val="center"/>
          </w:tcPr>
          <w:p w14:paraId="6F16719C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长江三角洲某大型化工园区30个微型空气质量监测站点揭示空气污染物时空变化特征</w:t>
            </w:r>
          </w:p>
        </w:tc>
        <w:tc>
          <w:tcPr>
            <w:tcW w:w="1537" w:type="dxa"/>
            <w:vAlign w:val="center"/>
          </w:tcPr>
          <w:p w14:paraId="4B11500D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庞小兵、卢 昱、王宝珍*、吴 海、施康丽、李晶晶、邢 博、陈 朗、吴振涛、戴 尚、周 伟、崔学伟、陈栋智、陈建孟</w:t>
            </w:r>
          </w:p>
        </w:tc>
        <w:tc>
          <w:tcPr>
            <w:tcW w:w="1339" w:type="dxa"/>
            <w:vAlign w:val="center"/>
          </w:tcPr>
          <w:p w14:paraId="7238EF97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6"/>
            <w:r>
              <w:rPr>
                <w:rFonts w:hint="eastAsia"/>
                <w:color w:val="000000" w:themeColor="text1"/>
                <w:kern w:val="0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Frontiers in Environmental Science</w:t>
            </w:r>
            <w:bookmarkEnd w:id="0"/>
          </w:p>
        </w:tc>
        <w:tc>
          <w:tcPr>
            <w:tcW w:w="1417" w:type="dxa"/>
            <w:vAlign w:val="center"/>
          </w:tcPr>
          <w:p w14:paraId="0D4C7124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2022， 10:1026842doi: 10.3389/fenvs.2022.1026842</w:t>
            </w:r>
          </w:p>
        </w:tc>
        <w:tc>
          <w:tcPr>
            <w:tcW w:w="1267" w:type="dxa"/>
            <w:vAlign w:val="center"/>
          </w:tcPr>
          <w:p w14:paraId="489D1A2A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"http://www.sciencedirect.com/science/article/pii/S0048969715308408" \t "_blank" </w:instrTex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/>
                <w:color w:val="000000" w:themeColor="text1"/>
                <w:kern w:val="0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SCI</w:t>
            </w:r>
            <w:r>
              <w:rPr>
                <w:rFonts w:hint="eastAsia"/>
                <w:color w:val="000000" w:themeColor="text1"/>
                <w:kern w:val="0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760" w:type="dxa"/>
            <w:vAlign w:val="center"/>
          </w:tcPr>
          <w:p w14:paraId="4E019DEA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</w:t>
            </w:r>
          </w:p>
        </w:tc>
        <w:tc>
          <w:tcPr>
            <w:tcW w:w="704" w:type="dxa"/>
            <w:vAlign w:val="center"/>
          </w:tcPr>
          <w:p w14:paraId="2F13FFFD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48C91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Align w:val="center"/>
          </w:tcPr>
          <w:p w14:paraId="7BFC3989">
            <w:pPr>
              <w:snapToGrid w:val="0"/>
              <w:spacing w:line="336" w:lineRule="auto"/>
              <w:jc w:val="center"/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29" w:type="dxa"/>
            <w:vAlign w:val="center"/>
          </w:tcPr>
          <w:p w14:paraId="163847B1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空间信息技术在大气污染监测中的应用</w:t>
            </w:r>
          </w:p>
        </w:tc>
        <w:tc>
          <w:tcPr>
            <w:tcW w:w="1537" w:type="dxa"/>
            <w:vAlign w:val="center"/>
          </w:tcPr>
          <w:p w14:paraId="0822FBCA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王宝珍, 陈志, 陈良富, 张溪, 王祥洪</w:t>
            </w:r>
          </w:p>
        </w:tc>
        <w:tc>
          <w:tcPr>
            <w:tcW w:w="1339" w:type="dxa"/>
            <w:vAlign w:val="center"/>
          </w:tcPr>
          <w:p w14:paraId="4122277C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科学技术文献出版社</w:t>
            </w:r>
          </w:p>
        </w:tc>
        <w:tc>
          <w:tcPr>
            <w:tcW w:w="1417" w:type="dxa"/>
            <w:vAlign w:val="center"/>
          </w:tcPr>
          <w:p w14:paraId="5651953D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2022年11月出版</w:t>
            </w:r>
          </w:p>
        </w:tc>
        <w:tc>
          <w:tcPr>
            <w:tcW w:w="1267" w:type="dxa"/>
            <w:vAlign w:val="center"/>
          </w:tcPr>
          <w:p w14:paraId="12D73328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专著</w:t>
            </w:r>
          </w:p>
        </w:tc>
        <w:tc>
          <w:tcPr>
            <w:tcW w:w="760" w:type="dxa"/>
            <w:vAlign w:val="center"/>
          </w:tcPr>
          <w:p w14:paraId="64D251E2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vAlign w:val="center"/>
          </w:tcPr>
          <w:p w14:paraId="739C2876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07B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03" w:type="dxa"/>
            <w:vAlign w:val="center"/>
          </w:tcPr>
          <w:p w14:paraId="666FEC08">
            <w:pPr>
              <w:snapToGrid w:val="0"/>
              <w:spacing w:line="336" w:lineRule="auto"/>
              <w:jc w:val="center"/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29" w:type="dxa"/>
            <w:vAlign w:val="center"/>
          </w:tcPr>
          <w:p w14:paraId="6EBED5B5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中国云贵高原城市地区春季活性挥发性有机化合物（VOCs）及其对臭氧的影响：一项 PTR-TOF-MS 研究</w:t>
            </w:r>
          </w:p>
        </w:tc>
        <w:tc>
          <w:tcPr>
            <w:tcW w:w="1537" w:type="dxa"/>
            <w:vAlign w:val="center"/>
          </w:tcPr>
          <w:p w14:paraId="6802D341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李青，韩燕,</w:t>
            </w:r>
          </w:p>
          <w:p w14:paraId="59A90A2E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黄大生,</w:t>
            </w: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周嘉伟,</w:t>
            </w:r>
          </w:p>
          <w:p w14:paraId="69E892CA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车汉雄,</w:t>
            </w:r>
          </w:p>
          <w:p w14:paraId="4221658C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张柳一，陆克定，杨福茂，陈阳*</w:t>
            </w:r>
          </w:p>
        </w:tc>
        <w:tc>
          <w:tcPr>
            <w:tcW w:w="1339" w:type="dxa"/>
            <w:vAlign w:val="center"/>
          </w:tcPr>
          <w:p w14:paraId="2727B43F">
            <w:pPr>
              <w:snapToGrid w:val="0"/>
              <w:spacing w:line="336" w:lineRule="auto"/>
              <w:ind w:right="6"/>
              <w:jc w:val="center"/>
              <w:rPr>
                <w:rFonts w:hint="default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"https://www.sciencedirect.com/journal/atmospheric-environment" \o "Go to Atmospheric Environment on ScienceDirect" </w:instrText>
            </w:r>
            <w:r>
              <w:rPr>
                <w:rFonts w:hint="default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Atmospheric Environment</w:t>
            </w:r>
            <w:r>
              <w:rPr>
                <w:rFonts w:hint="default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2A1321C9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 w14:paraId="30BE7248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2023, </w:t>
            </w:r>
            <w:r>
              <w:rPr>
                <w:rFonts w:hint="default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"https://www.sciencedirect.com/journal/atmospheric-environment/vol/307/suppl/C" \o "Go to table of contents for this volume/issue" </w:instrText>
            </w:r>
            <w:r>
              <w:rPr>
                <w:rFonts w:hint="default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307</w:t>
            </w:r>
            <w:r>
              <w:rPr>
                <w:rFonts w:hint="default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119800</w:t>
            </w:r>
          </w:p>
        </w:tc>
        <w:tc>
          <w:tcPr>
            <w:tcW w:w="1267" w:type="dxa"/>
            <w:vAlign w:val="center"/>
          </w:tcPr>
          <w:p w14:paraId="1533005C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SCI</w:t>
            </w:r>
          </w:p>
        </w:tc>
        <w:tc>
          <w:tcPr>
            <w:tcW w:w="760" w:type="dxa"/>
            <w:vAlign w:val="center"/>
          </w:tcPr>
          <w:p w14:paraId="60A198D8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</w:t>
            </w:r>
          </w:p>
        </w:tc>
        <w:tc>
          <w:tcPr>
            <w:tcW w:w="704" w:type="dxa"/>
            <w:vAlign w:val="center"/>
          </w:tcPr>
          <w:p w14:paraId="327184FD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26094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Align w:val="center"/>
          </w:tcPr>
          <w:p w14:paraId="6AAB37B9">
            <w:pPr>
              <w:snapToGrid w:val="0"/>
              <w:spacing w:line="336" w:lineRule="auto"/>
              <w:jc w:val="center"/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29" w:type="dxa"/>
            <w:vAlign w:val="center"/>
          </w:tcPr>
          <w:p w14:paraId="45859D1B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银川不同季节典型空气污染过程特征分析 </w:t>
            </w:r>
          </w:p>
        </w:tc>
        <w:tc>
          <w:tcPr>
            <w:tcW w:w="1537" w:type="dxa"/>
            <w:vAlign w:val="center"/>
          </w:tcPr>
          <w:p w14:paraId="31E8FA0A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高娜，孙银川，王宝珍*，左河疆，高睿娜</w:t>
            </w:r>
          </w:p>
        </w:tc>
        <w:tc>
          <w:tcPr>
            <w:tcW w:w="1339" w:type="dxa"/>
            <w:vAlign w:val="center"/>
          </w:tcPr>
          <w:p w14:paraId="51CD1451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三峡生态环境监测</w:t>
            </w:r>
          </w:p>
        </w:tc>
        <w:tc>
          <w:tcPr>
            <w:tcW w:w="1417" w:type="dxa"/>
            <w:vAlign w:val="center"/>
          </w:tcPr>
          <w:p w14:paraId="43915A97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2020, 5（4）:1-7</w:t>
            </w:r>
          </w:p>
        </w:tc>
        <w:tc>
          <w:tcPr>
            <w:tcW w:w="1267" w:type="dxa"/>
            <w:vAlign w:val="center"/>
          </w:tcPr>
          <w:p w14:paraId="3A4D33AA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中国科技期刊</w:t>
            </w:r>
          </w:p>
        </w:tc>
        <w:tc>
          <w:tcPr>
            <w:tcW w:w="760" w:type="dxa"/>
            <w:vAlign w:val="center"/>
          </w:tcPr>
          <w:p w14:paraId="3EC3CE4F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</w:t>
            </w:r>
          </w:p>
        </w:tc>
        <w:tc>
          <w:tcPr>
            <w:tcW w:w="704" w:type="dxa"/>
            <w:vAlign w:val="center"/>
          </w:tcPr>
          <w:p w14:paraId="78CE8676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270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Align w:val="center"/>
          </w:tcPr>
          <w:p w14:paraId="4DFFA769">
            <w:pPr>
              <w:snapToGrid w:val="0"/>
              <w:spacing w:line="336" w:lineRule="auto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29" w:type="dxa"/>
            <w:vAlign w:val="center"/>
          </w:tcPr>
          <w:p w14:paraId="63C63BF6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整体式催化剂分解大气臭氧性能的研究</w:t>
            </w:r>
          </w:p>
        </w:tc>
        <w:tc>
          <w:tcPr>
            <w:tcW w:w="1537" w:type="dxa"/>
            <w:vAlign w:val="center"/>
          </w:tcPr>
          <w:p w14:paraId="46F73DE2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毛益萍，李晶晶，王宝珍*，袁锴彬，吴振涛</w:t>
            </w:r>
          </w:p>
        </w:tc>
        <w:tc>
          <w:tcPr>
            <w:tcW w:w="1339" w:type="dxa"/>
            <w:vAlign w:val="center"/>
          </w:tcPr>
          <w:p w14:paraId="160DE810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三峡生态环境监测</w:t>
            </w:r>
          </w:p>
        </w:tc>
        <w:tc>
          <w:tcPr>
            <w:tcW w:w="1417" w:type="dxa"/>
            <w:vAlign w:val="center"/>
          </w:tcPr>
          <w:p w14:paraId="2E8C62F0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2022, 7（4）: 35-42</w:t>
            </w:r>
          </w:p>
        </w:tc>
        <w:tc>
          <w:tcPr>
            <w:tcW w:w="1267" w:type="dxa"/>
            <w:vAlign w:val="center"/>
          </w:tcPr>
          <w:p w14:paraId="5ABC62B5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中国科技期刊</w:t>
            </w:r>
          </w:p>
        </w:tc>
        <w:tc>
          <w:tcPr>
            <w:tcW w:w="760" w:type="dxa"/>
            <w:vAlign w:val="center"/>
          </w:tcPr>
          <w:p w14:paraId="0823AB93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</w:t>
            </w:r>
          </w:p>
        </w:tc>
        <w:tc>
          <w:tcPr>
            <w:tcW w:w="704" w:type="dxa"/>
            <w:vAlign w:val="center"/>
          </w:tcPr>
          <w:p w14:paraId="5B79D681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8AA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Align w:val="center"/>
          </w:tcPr>
          <w:p w14:paraId="2FDA1E75">
            <w:pPr>
              <w:snapToGrid w:val="0"/>
              <w:spacing w:line="336" w:lineRule="auto"/>
              <w:jc w:val="center"/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29" w:type="dxa"/>
            <w:vAlign w:val="center"/>
          </w:tcPr>
          <w:p w14:paraId="5DCF2BDE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基于BP神经网络的南通机场风速预报模型</w:t>
            </w:r>
          </w:p>
        </w:tc>
        <w:tc>
          <w:tcPr>
            <w:tcW w:w="1537" w:type="dxa"/>
            <w:vAlign w:val="center"/>
          </w:tcPr>
          <w:p w14:paraId="6FD2DAC8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张晓蔚，王宝珍*，朱 亮，夏 峰，陆</w:t>
            </w:r>
          </w:p>
          <w:p w14:paraId="07202385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晏</w:t>
            </w:r>
          </w:p>
        </w:tc>
        <w:tc>
          <w:tcPr>
            <w:tcW w:w="1339" w:type="dxa"/>
            <w:vAlign w:val="center"/>
          </w:tcPr>
          <w:p w14:paraId="76FF5857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三峡生态环境监测</w:t>
            </w:r>
          </w:p>
        </w:tc>
        <w:tc>
          <w:tcPr>
            <w:tcW w:w="1417" w:type="dxa"/>
            <w:vAlign w:val="center"/>
          </w:tcPr>
          <w:p w14:paraId="3CECF632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2023, 8（1）: 78-85</w:t>
            </w:r>
          </w:p>
        </w:tc>
        <w:tc>
          <w:tcPr>
            <w:tcW w:w="1267" w:type="dxa"/>
            <w:vAlign w:val="center"/>
          </w:tcPr>
          <w:p w14:paraId="69ADA7EA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中国科技期刊</w:t>
            </w:r>
          </w:p>
        </w:tc>
        <w:tc>
          <w:tcPr>
            <w:tcW w:w="760" w:type="dxa"/>
            <w:vAlign w:val="center"/>
          </w:tcPr>
          <w:p w14:paraId="460FAE59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</w:t>
            </w:r>
          </w:p>
        </w:tc>
        <w:tc>
          <w:tcPr>
            <w:tcW w:w="704" w:type="dxa"/>
            <w:vAlign w:val="center"/>
          </w:tcPr>
          <w:p w14:paraId="62A06D36">
            <w:pPr>
              <w:snapToGrid w:val="0"/>
              <w:spacing w:line="336" w:lineRule="auto"/>
              <w:ind w:right="6"/>
              <w:jc w:val="center"/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ACCDCAC">
      <w:pPr>
        <w:spacing w:line="500" w:lineRule="exact"/>
        <w:ind w:firstLine="480" w:firstLineChars="200"/>
        <w:rPr>
          <w:rFonts w:eastAsia="仿宋_GB2312"/>
          <w:bCs/>
          <w:sz w:val="24"/>
          <w:szCs w:val="24"/>
        </w:rPr>
      </w:pPr>
    </w:p>
    <w:p w14:paraId="59E90D5E">
      <w:pPr>
        <w:spacing w:line="500" w:lineRule="exact"/>
        <w:ind w:firstLine="480" w:firstLineChars="200"/>
        <w:rPr>
          <w:rFonts w:eastAsia="仿宋_GB2312"/>
          <w:bCs/>
          <w:sz w:val="24"/>
          <w:szCs w:val="24"/>
        </w:rPr>
      </w:pPr>
      <w:r>
        <w:rPr>
          <w:rFonts w:hint="eastAsia" w:eastAsia="仿宋_GB2312"/>
          <w:bCs/>
          <w:sz w:val="24"/>
          <w:szCs w:val="24"/>
        </w:rPr>
        <w:t>注:</w:t>
      </w:r>
      <w:r>
        <w:rPr>
          <w:rFonts w:eastAsia="仿宋_GB2312"/>
          <w:bCs/>
          <w:sz w:val="24"/>
          <w:szCs w:val="24"/>
        </w:rPr>
        <w:t xml:space="preserve"> </w:t>
      </w:r>
      <w:r>
        <w:rPr>
          <w:rFonts w:hint="eastAsia" w:eastAsia="仿宋_GB2312"/>
          <w:bCs/>
          <w:sz w:val="24"/>
          <w:szCs w:val="24"/>
        </w:rPr>
        <w:t>以上两</w:t>
      </w:r>
      <w:r>
        <w:rPr>
          <w:rFonts w:eastAsia="仿宋_GB2312"/>
          <w:bCs/>
          <w:sz w:val="24"/>
          <w:szCs w:val="24"/>
        </w:rPr>
        <w:t>个附件中的知识产权、标准规范、论文专著，合计填写总数不超过10项。</w:t>
      </w:r>
    </w:p>
    <w:sectPr>
      <w:pgSz w:w="11906" w:h="16838"/>
      <w:pgMar w:top="1440" w:right="1276" w:bottom="1440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w2exwzrlss9vpepwa1v9tzydtvza9fer05d&quot;&gt;我的EndNote库&lt;record-ids&gt;&lt;item&gt;110&lt;/item&gt;&lt;/record-ids&gt;&lt;/item&gt;&lt;/Libraries&gt;"/>
  </w:docVars>
  <w:rsids>
    <w:rsidRoot w:val="0082117E"/>
    <w:rsid w:val="00063C27"/>
    <w:rsid w:val="000D5C69"/>
    <w:rsid w:val="000D79D2"/>
    <w:rsid w:val="000F2E7B"/>
    <w:rsid w:val="00130367"/>
    <w:rsid w:val="001555B9"/>
    <w:rsid w:val="00175631"/>
    <w:rsid w:val="001B57E2"/>
    <w:rsid w:val="001D3B60"/>
    <w:rsid w:val="00210109"/>
    <w:rsid w:val="00211589"/>
    <w:rsid w:val="00216AF1"/>
    <w:rsid w:val="00230375"/>
    <w:rsid w:val="002624D6"/>
    <w:rsid w:val="002B51E9"/>
    <w:rsid w:val="00334129"/>
    <w:rsid w:val="003B5AFE"/>
    <w:rsid w:val="003B61E9"/>
    <w:rsid w:val="003C601C"/>
    <w:rsid w:val="003E2631"/>
    <w:rsid w:val="003F732E"/>
    <w:rsid w:val="00407E40"/>
    <w:rsid w:val="004411C8"/>
    <w:rsid w:val="00471B85"/>
    <w:rsid w:val="00485EB9"/>
    <w:rsid w:val="00496934"/>
    <w:rsid w:val="004C7DA9"/>
    <w:rsid w:val="004D2B1A"/>
    <w:rsid w:val="004E0089"/>
    <w:rsid w:val="004F65E4"/>
    <w:rsid w:val="005539A6"/>
    <w:rsid w:val="005552DA"/>
    <w:rsid w:val="005B3E34"/>
    <w:rsid w:val="0060735D"/>
    <w:rsid w:val="00612482"/>
    <w:rsid w:val="00643F2C"/>
    <w:rsid w:val="00657B78"/>
    <w:rsid w:val="006C2B51"/>
    <w:rsid w:val="006D7BAE"/>
    <w:rsid w:val="00731F31"/>
    <w:rsid w:val="00742F21"/>
    <w:rsid w:val="00773751"/>
    <w:rsid w:val="00791FE5"/>
    <w:rsid w:val="007B34C1"/>
    <w:rsid w:val="007F2AA4"/>
    <w:rsid w:val="007F3862"/>
    <w:rsid w:val="007F6C3C"/>
    <w:rsid w:val="00812188"/>
    <w:rsid w:val="00812BF8"/>
    <w:rsid w:val="0082117E"/>
    <w:rsid w:val="00830CF6"/>
    <w:rsid w:val="008409D0"/>
    <w:rsid w:val="00866CB2"/>
    <w:rsid w:val="008C4267"/>
    <w:rsid w:val="008D0030"/>
    <w:rsid w:val="008E30A0"/>
    <w:rsid w:val="00933D56"/>
    <w:rsid w:val="00942D22"/>
    <w:rsid w:val="009A6671"/>
    <w:rsid w:val="009B2C57"/>
    <w:rsid w:val="009F100A"/>
    <w:rsid w:val="00A0124B"/>
    <w:rsid w:val="00A10995"/>
    <w:rsid w:val="00A12F72"/>
    <w:rsid w:val="00A511DD"/>
    <w:rsid w:val="00AC5212"/>
    <w:rsid w:val="00AE57ED"/>
    <w:rsid w:val="00AF645F"/>
    <w:rsid w:val="00B06C21"/>
    <w:rsid w:val="00B30618"/>
    <w:rsid w:val="00B33836"/>
    <w:rsid w:val="00B37D96"/>
    <w:rsid w:val="00B47CC3"/>
    <w:rsid w:val="00B618CC"/>
    <w:rsid w:val="00B84C63"/>
    <w:rsid w:val="00BC210A"/>
    <w:rsid w:val="00BF3AB8"/>
    <w:rsid w:val="00C07781"/>
    <w:rsid w:val="00C106ED"/>
    <w:rsid w:val="00C22101"/>
    <w:rsid w:val="00C245E0"/>
    <w:rsid w:val="00C6338E"/>
    <w:rsid w:val="00C755E5"/>
    <w:rsid w:val="00C95110"/>
    <w:rsid w:val="00CA1C35"/>
    <w:rsid w:val="00CA367B"/>
    <w:rsid w:val="00CA7F83"/>
    <w:rsid w:val="00CE6BF6"/>
    <w:rsid w:val="00CF36AB"/>
    <w:rsid w:val="00D34DF6"/>
    <w:rsid w:val="00D4586F"/>
    <w:rsid w:val="00D57031"/>
    <w:rsid w:val="00E00411"/>
    <w:rsid w:val="00E046EB"/>
    <w:rsid w:val="00E65A89"/>
    <w:rsid w:val="00E72BE8"/>
    <w:rsid w:val="00E965E5"/>
    <w:rsid w:val="00EA4016"/>
    <w:rsid w:val="00EB1A43"/>
    <w:rsid w:val="00EF3F9B"/>
    <w:rsid w:val="00F20EF7"/>
    <w:rsid w:val="00F4275E"/>
    <w:rsid w:val="00F46A27"/>
    <w:rsid w:val="00F57709"/>
    <w:rsid w:val="00F612C2"/>
    <w:rsid w:val="00FF7C83"/>
    <w:rsid w:val="01D825F3"/>
    <w:rsid w:val="02026A9B"/>
    <w:rsid w:val="04121C66"/>
    <w:rsid w:val="04525012"/>
    <w:rsid w:val="06463287"/>
    <w:rsid w:val="07392607"/>
    <w:rsid w:val="0D600335"/>
    <w:rsid w:val="0E6344F9"/>
    <w:rsid w:val="102A5AC4"/>
    <w:rsid w:val="108C331D"/>
    <w:rsid w:val="195C14B6"/>
    <w:rsid w:val="1C1B23B1"/>
    <w:rsid w:val="1C22648D"/>
    <w:rsid w:val="1EE5250D"/>
    <w:rsid w:val="20683C4E"/>
    <w:rsid w:val="2F827A5E"/>
    <w:rsid w:val="3DFD2430"/>
    <w:rsid w:val="3E6E79E5"/>
    <w:rsid w:val="3F656D44"/>
    <w:rsid w:val="48F16F90"/>
    <w:rsid w:val="50970590"/>
    <w:rsid w:val="58E55E33"/>
    <w:rsid w:val="5C0D63CC"/>
    <w:rsid w:val="66DB72B3"/>
    <w:rsid w:val="69477E6D"/>
    <w:rsid w:val="6FB2332E"/>
    <w:rsid w:val="72FB0AC0"/>
    <w:rsid w:val="7639549A"/>
    <w:rsid w:val="79E716A6"/>
    <w:rsid w:val="7C6C098D"/>
    <w:rsid w:val="7CF34F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0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EndNote Bibliography Title"/>
    <w:basedOn w:val="1"/>
    <w:link w:val="13"/>
    <w:qFormat/>
    <w:uiPriority w:val="0"/>
    <w:pPr>
      <w:jc w:val="center"/>
    </w:pPr>
    <w:rPr>
      <w:sz w:val="20"/>
    </w:rPr>
  </w:style>
  <w:style w:type="character" w:customStyle="1" w:styleId="13">
    <w:name w:val="EndNote Bibliography Title 字符"/>
    <w:basedOn w:val="7"/>
    <w:link w:val="12"/>
    <w:qFormat/>
    <w:uiPriority w:val="0"/>
    <w:rPr>
      <w:kern w:val="2"/>
    </w:rPr>
  </w:style>
  <w:style w:type="paragraph" w:customStyle="1" w:styleId="14">
    <w:name w:val="EndNote Bibliography"/>
    <w:basedOn w:val="1"/>
    <w:link w:val="15"/>
    <w:qFormat/>
    <w:uiPriority w:val="0"/>
    <w:rPr>
      <w:sz w:val="20"/>
    </w:rPr>
  </w:style>
  <w:style w:type="character" w:customStyle="1" w:styleId="15">
    <w:name w:val="EndNote Bibliography 字符"/>
    <w:basedOn w:val="7"/>
    <w:link w:val="14"/>
    <w:qFormat/>
    <w:uiPriority w:val="0"/>
    <w:rPr>
      <w:kern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1670</Words>
  <Characters>2182</Characters>
  <Lines>21</Lines>
  <Paragraphs>5</Paragraphs>
  <TotalTime>0</TotalTime>
  <ScaleCrop>false</ScaleCrop>
  <LinksUpToDate>false</LinksUpToDate>
  <CharactersWithSpaces>2285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2023-02-24T07:18:00Z</dcterms:created>
  <dc:creator>dell</dc:creator>
  <cp:lastModifiedBy>Lenovo</cp:lastModifiedBy>
  <dcterms:modified xsi:type="dcterms:W3CDTF">2025-09-08T03:52:27Z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eyJoZGlkIjoiYTE3MWQ5ZmMxNDNiNWE2MDYzZDYyZmNmMjQ2ZjM2OTIifQ==</vt:lpwstr>
  </property>
  <property fmtid="{D5CDD505-2E9C-101B-9397-08002B2CF9AE}" pid="4" name="ICV">
    <vt:lpwstr>D04128837EF7488AA01BC1EFA938960F_12</vt:lpwstr>
  </property>
</Properties>
</file>