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26D22">
      <w:pPr>
        <w:pStyle w:val="2"/>
        <w:snapToGrid w:val="0"/>
        <w:spacing w:line="600" w:lineRule="exact"/>
        <w:rPr>
          <w:rFonts w:eastAsia="方正小标宋_GBK"/>
          <w:sz w:val="44"/>
          <w:szCs w:val="44"/>
        </w:rPr>
      </w:pPr>
      <w:bookmarkStart w:id="0" w:name="_Toc9133"/>
      <w:bookmarkStart w:id="1" w:name="_重庆市科技进步奖提名书_1"/>
      <w:r>
        <w:rPr>
          <w:rFonts w:eastAsia="方正小标宋_GBK"/>
          <w:sz w:val="44"/>
          <w:szCs w:val="44"/>
        </w:rPr>
        <w:t>2024年度重庆市科学技术奖公示表</w:t>
      </w:r>
      <w:bookmarkEnd w:id="0"/>
    </w:p>
    <w:bookmarkEnd w:id="1"/>
    <w:p w14:paraId="04818726">
      <w:pPr>
        <w:pStyle w:val="5"/>
        <w:snapToGrid w:val="0"/>
        <w:spacing w:line="600" w:lineRule="exact"/>
        <w:jc w:val="center"/>
        <w:rPr>
          <w:rFonts w:eastAsia="方正仿宋_GBK"/>
          <w:sz w:val="44"/>
          <w:szCs w:val="44"/>
        </w:rPr>
      </w:pPr>
      <w:bookmarkStart w:id="2" w:name="_Toc855529018"/>
      <w:r>
        <w:rPr>
          <w:rFonts w:eastAsia="方正小标宋_GBK"/>
          <w:sz w:val="44"/>
          <w:szCs w:val="44"/>
        </w:rPr>
        <w:t>（科技进步奖）</w:t>
      </w:r>
      <w:bookmarkEnd w:id="2"/>
    </w:p>
    <w:p w14:paraId="782A6F74"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  <w:t>一、项目名称</w:t>
      </w:r>
      <w:r>
        <w:rPr>
          <w:rFonts w:eastAsia="方正仿宋_GBK"/>
          <w:sz w:val="32"/>
          <w:szCs w:val="32"/>
        </w:rPr>
        <w:t xml:space="preserve"> </w:t>
      </w:r>
    </w:p>
    <w:p w14:paraId="0F02AD41">
      <w:pPr>
        <w:snapToGrid w:val="0"/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</w:pPr>
      <w:bookmarkStart w:id="10" w:name="_GoBack"/>
      <w:r>
        <w:rPr>
          <w:rFonts w:hint="eastAsia" w:eastAsia="方正仿宋_GBK"/>
          <w:sz w:val="32"/>
          <w:szCs w:val="32"/>
        </w:rPr>
        <w:t>优质药食两用百合新品种创制与应用</w:t>
      </w:r>
    </w:p>
    <w:bookmarkEnd w:id="10"/>
    <w:p w14:paraId="74BD50AE"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  <w:t>二、提名者及提名等级</w:t>
      </w:r>
    </w:p>
    <w:p w14:paraId="1DCD1AA6"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科技进步二等奖</w:t>
      </w:r>
    </w:p>
    <w:p w14:paraId="60841A75"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  <w:t>三、提名者</w:t>
      </w:r>
    </w:p>
    <w:p w14:paraId="46F7F7A2"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重庆市南川区科学技术局</w:t>
      </w:r>
    </w:p>
    <w:p w14:paraId="31E3E8BB"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  <w:t>四、主要完成单位</w:t>
      </w:r>
    </w:p>
    <w:p w14:paraId="0F641079">
      <w:pPr>
        <w:snapToGrid w:val="0"/>
        <w:spacing w:line="600" w:lineRule="exact"/>
        <w:ind w:firstLine="640" w:firstLineChars="20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sz w:val="32"/>
          <w:szCs w:val="32"/>
        </w:rPr>
        <w:t>重庆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市药物种植研究所</w:t>
      </w:r>
      <w:r>
        <w:rPr>
          <w:rFonts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、长江师范学院、重庆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市中药研究院、湖南省瑞源农业有限公司</w:t>
      </w:r>
    </w:p>
    <w:p w14:paraId="0CD8B0D3">
      <w:pPr>
        <w:snapToGrid w:val="0"/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五、</w:t>
      </w:r>
      <w:r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  <w:t>主要完成人</w:t>
      </w:r>
    </w:p>
    <w:p w14:paraId="70045156">
      <w:pPr>
        <w:pStyle w:val="6"/>
        <w:snapToGrid w:val="0"/>
        <w:spacing w:line="600" w:lineRule="exact"/>
        <w:ind w:firstLine="640"/>
        <w:rPr>
          <w:rFonts w:hint="eastAsia" w:eastAsia="方正仿宋_GBK"/>
          <w:color w:val="FF000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符勇耀、雷美艳、杨利平、全健、蒲盛才、赵小红、</w:t>
      </w:r>
      <w:r>
        <w:rPr>
          <w:rFonts w:hint="eastAsia" w:eastAsia="方正仿宋_GBK"/>
          <w:kern w:val="0"/>
          <w:sz w:val="32"/>
          <w:szCs w:val="32"/>
        </w:rPr>
        <w:t>郭连安、谭均</w:t>
      </w:r>
      <w:r>
        <w:rPr>
          <w:rFonts w:eastAsia="方正仿宋_GBK"/>
          <w:kern w:val="0"/>
          <w:sz w:val="32"/>
          <w:szCs w:val="32"/>
        </w:rPr>
        <w:t>、胡柿红</w:t>
      </w:r>
      <w:r>
        <w:rPr>
          <w:rFonts w:hint="eastAsia" w:eastAsia="方正仿宋_GBK"/>
          <w:kern w:val="0"/>
          <w:sz w:val="32"/>
          <w:szCs w:val="32"/>
        </w:rPr>
        <w:t>、</w:t>
      </w:r>
      <w:r>
        <w:rPr>
          <w:rFonts w:eastAsia="方正仿宋_GBK"/>
          <w:kern w:val="0"/>
          <w:sz w:val="32"/>
          <w:szCs w:val="32"/>
        </w:rPr>
        <w:t>文</w:t>
      </w:r>
      <w:r>
        <w:rPr>
          <w:rFonts w:hint="eastAsia" w:eastAsia="方正仿宋_GBK"/>
          <w:kern w:val="0"/>
          <w:sz w:val="32"/>
          <w:szCs w:val="32"/>
        </w:rPr>
        <w:t>杰</w:t>
      </w:r>
    </w:p>
    <w:p w14:paraId="70B14368">
      <w:pPr>
        <w:snapToGrid w:val="0"/>
        <w:spacing w:line="6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六、</w:t>
      </w:r>
      <w:r>
        <w:rPr>
          <w:rFonts w:eastAsia="方正仿宋_GBK"/>
          <w:kern w:val="0"/>
          <w:sz w:val="32"/>
          <w:szCs w:val="32"/>
        </w:rPr>
        <w:t>项目简介</w:t>
      </w:r>
    </w:p>
    <w:p w14:paraId="04A5C75B">
      <w:pPr>
        <w:pStyle w:val="6"/>
        <w:snapToGrid w:val="0"/>
        <w:spacing w:line="600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百合具有较高食用、药用和观赏价值，广泛用于食品、药品和保健等行业。重庆为百合优质适生区，百合种植在</w:t>
      </w:r>
      <w:r>
        <w:rPr>
          <w:rFonts w:hint="eastAsia" w:eastAsia="方正仿宋_GBK"/>
          <w:sz w:val="32"/>
          <w:szCs w:val="32"/>
        </w:rPr>
        <w:t>乡村振兴</w:t>
      </w:r>
      <w:r>
        <w:rPr>
          <w:rFonts w:eastAsia="方正仿宋_GBK"/>
          <w:sz w:val="32"/>
          <w:szCs w:val="32"/>
        </w:rPr>
        <w:t>和中药材生产中具有重要地位。重庆酉阳、秀山、彭水、南川</w:t>
      </w:r>
      <w:r>
        <w:rPr>
          <w:rFonts w:hint="eastAsia" w:eastAsia="方正仿宋_GBK"/>
          <w:sz w:val="32"/>
          <w:szCs w:val="32"/>
        </w:rPr>
        <w:t>和黔江</w:t>
      </w:r>
      <w:r>
        <w:rPr>
          <w:rFonts w:eastAsia="方正仿宋_GBK"/>
          <w:sz w:val="32"/>
          <w:szCs w:val="32"/>
        </w:rPr>
        <w:t>等区县已经成为百合的重要产地。随着种植规模的扩大和种植年限的增加，百合行业关键共性问题逐渐突显亟待解决，主要包括百合种性退化严重、</w:t>
      </w:r>
      <w:r>
        <w:rPr>
          <w:rFonts w:hint="eastAsia" w:eastAsia="方正仿宋_GBK"/>
          <w:sz w:val="32"/>
          <w:szCs w:val="32"/>
        </w:rPr>
        <w:t>品质降低，</w:t>
      </w:r>
      <w:r>
        <w:rPr>
          <w:rFonts w:eastAsia="方正仿宋_GBK"/>
          <w:sz w:val="32"/>
          <w:szCs w:val="32"/>
        </w:rPr>
        <w:t>缺乏自主知识产权的新优品种和栽培加工技术不规范，导致百合产量和质量不稳定，无法满足市场需求。针对以上产业发展</w:t>
      </w:r>
      <w:r>
        <w:rPr>
          <w:rFonts w:hint="eastAsia" w:eastAsia="方正仿宋_GBK"/>
          <w:sz w:val="32"/>
          <w:szCs w:val="32"/>
        </w:rPr>
        <w:t>关键</w:t>
      </w:r>
      <w:r>
        <w:rPr>
          <w:rFonts w:eastAsia="方正仿宋_GBK"/>
          <w:sz w:val="32"/>
          <w:szCs w:val="32"/>
        </w:rPr>
        <w:t>问题</w:t>
      </w:r>
      <w:r>
        <w:rPr>
          <w:rFonts w:hint="eastAsia" w:eastAsia="方正仿宋_GBK"/>
          <w:sz w:val="32"/>
          <w:szCs w:val="32"/>
        </w:rPr>
        <w:t>，该成果系统收集和评价了药食两用百合种质资源，开展了新品种创制，规范化种植和加工关键技术研究及应用，取得药食两用新品种5个，发布地方标准3个；获国家发明专利授权7件，实用新型专利6件，获药膳版权2件；发表论文23篇，出版专著1部。研究成果已在重庆、湖南、四川等产区推广应用，推动产业发展，有力助推乡村振兴，社会经济效益显著。</w:t>
      </w:r>
      <w:r>
        <w:rPr>
          <w:rFonts w:eastAsia="方正仿宋_GBK"/>
          <w:sz w:val="32"/>
          <w:szCs w:val="32"/>
        </w:rPr>
        <w:t>总体技术水平达到国内领先。</w:t>
      </w:r>
    </w:p>
    <w:p w14:paraId="66DDA44E"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七</w:t>
      </w:r>
      <w:r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  <w:t>、主要知识产权和标准规范等目录</w:t>
      </w:r>
    </w:p>
    <w:p w14:paraId="5FF531A8">
      <w:pPr>
        <w:snapToGrid w:val="0"/>
        <w:spacing w:line="600" w:lineRule="exact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（一）项目</w:t>
      </w:r>
    </w:p>
    <w:p w14:paraId="5C7ED465">
      <w:pPr>
        <w:widowControl/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1重庆市自然科学基金《卷丹新种质创制的研究》（CSTC,2011BB1001,2011-2014）。</w:t>
      </w:r>
    </w:p>
    <w:p w14:paraId="08A702C8">
      <w:pPr>
        <w:widowControl/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2 </w:t>
      </w:r>
      <w:r>
        <w:rPr>
          <w:rFonts w:eastAsia="方正仿宋_GBK"/>
          <w:sz w:val="32"/>
          <w:szCs w:val="32"/>
        </w:rPr>
        <w:t>重庆市技术创新与应用发展专项重点项目</w:t>
      </w:r>
      <w:r>
        <w:rPr>
          <w:rFonts w:hint="eastAsia" w:eastAsia="方正仿宋_GBK"/>
          <w:sz w:val="32"/>
          <w:szCs w:val="32"/>
        </w:rPr>
        <w:t>《渝产大宗中药材种苗（良种）繁育技术研究与基地建设》（cstc2019jscx-gksbX0063）。</w:t>
      </w:r>
    </w:p>
    <w:p w14:paraId="6610C85F">
      <w:pPr>
        <w:widowControl/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教育部春晖计划项目《卷丹6倍体新种质培育》（Z2016182,2016-2018）</w:t>
      </w:r>
    </w:p>
    <w:p w14:paraId="2CE3E457">
      <w:pPr>
        <w:widowControl/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 xml:space="preserve"> 重庆市重点产业共性关键技术创新专项子课题《渝产优良中药材种子种苗繁育基地建设》cstc2016zdcy-ztzx10003</w:t>
      </w:r>
    </w:p>
    <w:p w14:paraId="3DBBB2CD">
      <w:pPr>
        <w:widowControl/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 xml:space="preserve"> 重庆市科卫联合项目《重庆地区卷丹病虫害绿色防控技术研究与示范推广》2020ZY3907</w:t>
      </w:r>
    </w:p>
    <w:p w14:paraId="64C72A1A">
      <w:pPr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 xml:space="preserve"> 重庆市科技局绩效激励引导专项《基于重庆卷丹施肥量的研究》cstc2021jxjl130019</w:t>
      </w:r>
    </w:p>
    <w:p w14:paraId="47A71A29">
      <w:pPr>
        <w:widowControl/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7</w:t>
      </w:r>
      <w:r>
        <w:rPr>
          <w:rFonts w:eastAsia="方正仿宋_GBK"/>
          <w:sz w:val="32"/>
          <w:szCs w:val="32"/>
        </w:rPr>
        <w:t xml:space="preserve"> 重庆市卫计委中医药科技项目《药食两用6倍体卷丹新种质的培育》ZY201602171</w:t>
      </w:r>
    </w:p>
    <w:p w14:paraId="70A37441">
      <w:pPr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8</w:t>
      </w:r>
      <w:r>
        <w:rPr>
          <w:rFonts w:eastAsia="方正仿宋_GBK"/>
          <w:sz w:val="32"/>
          <w:szCs w:val="32"/>
        </w:rPr>
        <w:t xml:space="preserve"> 重庆市自然科学基金面上项目《卷丹百合转基因体系构建及灰霉菌诱导的PR启动子在转基因百合中的表达筛选》cstc2019jcyj-msxmX0014</w:t>
      </w:r>
    </w:p>
    <w:p w14:paraId="49AFC7E4">
      <w:pPr>
        <w:widowControl/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9 重庆市基本科研业务费《卷丹多倍体育种及半夏有性繁殖机制研究》cstc2018jxjl-jbky130015</w:t>
      </w:r>
    </w:p>
    <w:p w14:paraId="0F6AE8AD">
      <w:pPr>
        <w:widowControl/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10</w:t>
      </w:r>
      <w:r>
        <w:rPr>
          <w:rFonts w:eastAsia="方正仿宋_GBK"/>
          <w:sz w:val="32"/>
          <w:szCs w:val="32"/>
        </w:rPr>
        <w:t>重庆市涪陵区科委《西南地区特色百合资源收集与种质创新》（FLKJ,2012BB1086,2012-2014）</w:t>
      </w:r>
    </w:p>
    <w:p w14:paraId="136CF06B">
      <w:pPr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主要知识产权和规范目录</w:t>
      </w:r>
    </w:p>
    <w:p w14:paraId="554FFBDB">
      <w:pPr>
        <w:widowControl/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（二）论文</w:t>
      </w:r>
    </w:p>
    <w:p w14:paraId="787DE93B">
      <w:pPr>
        <w:snapToGrid w:val="0"/>
        <w:spacing w:line="600" w:lineRule="exact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/>
          <w:sz w:val="32"/>
          <w:szCs w:val="32"/>
        </w:rPr>
        <w:t xml:space="preserve">1. </w:t>
      </w:r>
      <w:r>
        <w:rPr>
          <w:rFonts w:eastAsia="方正仿宋_GBK"/>
          <w:sz w:val="32"/>
          <w:szCs w:val="32"/>
          <w:shd w:val="clear" w:color="auto" w:fill="FFFFFF"/>
        </w:rPr>
        <w:t>Yongyao F ,Fengluan L ,Xiangying Q , et al.Salt solution treatment plays an important role in overcoming pre-fertilization barriers during Asiatic and Oriental lily crossbreeding[J].Scientia Horticulturae,2021,288</w:t>
      </w:r>
    </w:p>
    <w:p w14:paraId="11697320">
      <w:pPr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 雷美艳,杨利平*,杨天健,符勇耀,蒲盛才,杨成前.卷丹新品种‘渝百合1号’[J].园艺学报, 2020,47(S2):3043-3044</w:t>
      </w:r>
    </w:p>
    <w:p w14:paraId="15723B50">
      <w:pPr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 符勇耀,易德燕,杨先茂等.卷丹新种质JD-h-15的形态特征与遗传变异分析[J].生物技术通报,2022,38(11):140-150</w:t>
      </w:r>
    </w:p>
    <w:p w14:paraId="5A5A37BD">
      <w:pPr>
        <w:snapToGrid w:val="0"/>
        <w:spacing w:line="600" w:lineRule="exact"/>
        <w:ind w:left="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 符勇耀,杨利平*,高海洪,徐文姬,雷美艳,王安祥.重庆卷丹病毒检测与脱毒方法研究[J].西北农业学报, 2020,29(7):1068-1077</w:t>
      </w:r>
    </w:p>
    <w:p w14:paraId="52193908">
      <w:pPr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5. Yongyao Fu,Liping Yang,Haihong Gao,Wenji Xu,Qiang Li, Hongqun Li, Jian Gao*. Comparative transcriptome analysis reveals heat stress-responsive genes and their signalling pathways in lilies (Lilium longiflorum vs. Lilium distichum), PLoS ONE, 2020, 15(10): e0239605</w:t>
      </w:r>
    </w:p>
    <w:p w14:paraId="2CADCCE9">
      <w:pPr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6. 雷美艳,杨利平,杨天建等.卷丹多倍体新品种‘渝百合1号’的培育[J].分子植物育种,2020,18(14):4714-4724</w:t>
      </w:r>
    </w:p>
    <w:p w14:paraId="229ADACB">
      <w:pPr>
        <w:snapToGrid w:val="0"/>
        <w:spacing w:line="600" w:lineRule="exact"/>
        <w:ind w:left="1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7. 杨利平,符勇耀*,范军好,黄渝. 龙牙百合3个地方品种的形态特征及核型分析[J]. 植物科学学报, 2019,37(5):559-568</w:t>
      </w:r>
    </w:p>
    <w:p w14:paraId="29C8508D">
      <w:pPr>
        <w:snapToGrid w:val="0"/>
        <w:spacing w:line="600" w:lineRule="exact"/>
        <w:ind w:left="5" w:leftChars="1" w:hanging="3" w:hangingChars="1"/>
        <w:rPr>
          <w:rFonts w:eastAsia="方正仿宋_GBK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8. 陈艾</w:t>
      </w:r>
      <w:r>
        <w:rPr>
          <w:rFonts w:eastAsia="方正仿宋_GBK"/>
          <w:sz w:val="32"/>
          <w:szCs w:val="32"/>
        </w:rPr>
        <w:t>,</w:t>
      </w:r>
      <w:r>
        <w:rPr>
          <w:rFonts w:eastAsia="方正仿宋_GBK"/>
          <w:kern w:val="0"/>
          <w:sz w:val="32"/>
          <w:szCs w:val="32"/>
        </w:rPr>
        <w:t>杨利平</w:t>
      </w:r>
      <w:r>
        <w:rPr>
          <w:rFonts w:eastAsia="方正仿宋_GBK"/>
          <w:sz w:val="32"/>
          <w:szCs w:val="32"/>
        </w:rPr>
        <w:t>*,</w:t>
      </w:r>
      <w:r>
        <w:rPr>
          <w:rFonts w:eastAsia="方正仿宋_GBK"/>
          <w:kern w:val="0"/>
          <w:sz w:val="32"/>
          <w:szCs w:val="32"/>
        </w:rPr>
        <w:t>谭艳</w:t>
      </w:r>
      <w:r>
        <w:rPr>
          <w:rFonts w:eastAsia="方正仿宋_GBK"/>
          <w:sz w:val="32"/>
          <w:szCs w:val="32"/>
        </w:rPr>
        <w:t>,</w:t>
      </w:r>
      <w:r>
        <w:rPr>
          <w:rFonts w:eastAsia="方正仿宋_GBK"/>
          <w:kern w:val="0"/>
          <w:sz w:val="32"/>
          <w:szCs w:val="32"/>
        </w:rPr>
        <w:t>彭春涛</w:t>
      </w:r>
      <w:r>
        <w:rPr>
          <w:rFonts w:eastAsia="方正仿宋_GBK"/>
          <w:sz w:val="32"/>
          <w:szCs w:val="32"/>
        </w:rPr>
        <w:t>,</w:t>
      </w:r>
      <w:r>
        <w:rPr>
          <w:rFonts w:eastAsia="方正仿宋_GBK"/>
          <w:kern w:val="0"/>
          <w:sz w:val="32"/>
          <w:szCs w:val="32"/>
        </w:rPr>
        <w:t>唐彪</w:t>
      </w:r>
      <w:r>
        <w:rPr>
          <w:rFonts w:eastAsia="方正仿宋_GBK"/>
          <w:sz w:val="32"/>
          <w:szCs w:val="32"/>
        </w:rPr>
        <w:t>.</w:t>
      </w:r>
      <w:r>
        <w:rPr>
          <w:rFonts w:eastAsia="方正仿宋_GBK"/>
          <w:b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秋水仙素诱变离体卷丹多倍体的研究[J]. 植物遗传资源学报,2014,15(6):1385-1389</w:t>
      </w:r>
    </w:p>
    <w:p w14:paraId="04C6EA8C">
      <w:pPr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9. 杨利平,宋晓红.卷丹组培体系的构建[J].河北农业大学学报,2013,36(4): 17-21.</w:t>
      </w:r>
    </w:p>
    <w:p w14:paraId="5E20AE9C">
      <w:pPr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10. 唐彪,杨利平*,侯菲. 不同种源卷丹染色体数目变异[J]. 东北林业大学学报, 2014,42(11):158-160 </w:t>
      </w:r>
    </w:p>
    <w:p w14:paraId="26D787E4">
      <w:pPr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11. 赵小红,杨天建,余中莲等.卷丹种球分级标准研究[J].种子,2023,42(08):142-146</w:t>
      </w:r>
    </w:p>
    <w:p w14:paraId="3584FAEA">
      <w:pPr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12. 符勇耀,秦密,陈驿等.一种卷丹愈伤组织的诱导与增殖方法[J].分子植物育种,2022,20(09):3029-3037.</w:t>
      </w:r>
    </w:p>
    <w:p w14:paraId="499AA89E">
      <w:pPr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13. 杨利平.不同种源细叶百合生殖器官形态及核型变异[J]. 东北林业大学学报, 2013,41(11):56-58</w:t>
      </w:r>
    </w:p>
    <w:p w14:paraId="4D43856C">
      <w:pPr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14. 符勇耀,刘建玲,朱艺勇,徐文姬,雷美艳,杨利平*.卷丹转基因体系构建及岷江百合</w:t>
      </w:r>
      <w:r>
        <w:rPr>
          <w:rFonts w:eastAsia="方正仿宋_GBK"/>
          <w:i/>
          <w:sz w:val="32"/>
          <w:szCs w:val="32"/>
        </w:rPr>
        <w:t>LrCCoAOMT</w:t>
      </w:r>
      <w:r>
        <w:rPr>
          <w:rFonts w:eastAsia="方正仿宋_GBK"/>
          <w:sz w:val="32"/>
          <w:szCs w:val="32"/>
        </w:rPr>
        <w:t>的导入[J]. 园艺学报, 2020,47(7):1345-1358</w:t>
      </w:r>
    </w:p>
    <w:p w14:paraId="326259C6">
      <w:pPr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15. Yongyao Fu, Yiyong Zhu,Wei Yang, WenJi Xu, Qiang Li, Mei Chen*, Liping Yang*.Isolation and functional identification of a Botrytis cinerea-responsive caffeoyl-CoA O-methyltransferase gene from Lilium regale Wilson, Plant Physiology and Biochemistry, 2020, 157: 379-38</w:t>
      </w:r>
    </w:p>
    <w:p w14:paraId="021ADD18">
      <w:pPr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16. 李蕊,杨利平</w:t>
      </w:r>
      <w:bookmarkStart w:id="3" w:name="OLE_LINK27"/>
      <w:bookmarkStart w:id="4" w:name="OLE_LINK26"/>
      <w:bookmarkStart w:id="5" w:name="OLE_LINK25"/>
      <w:bookmarkStart w:id="6" w:name="OLE_LINK24"/>
      <w:r>
        <w:rPr>
          <w:rFonts w:eastAsia="方正仿宋_GBK"/>
          <w:sz w:val="32"/>
          <w:szCs w:val="32"/>
        </w:rPr>
        <w:t>*</w:t>
      </w:r>
      <w:bookmarkEnd w:id="3"/>
      <w:bookmarkEnd w:id="4"/>
      <w:bookmarkEnd w:id="5"/>
      <w:bookmarkEnd w:id="6"/>
      <w:r>
        <w:rPr>
          <w:rFonts w:eastAsia="方正仿宋_GBK"/>
          <w:sz w:val="32"/>
          <w:szCs w:val="32"/>
        </w:rPr>
        <w:t xml:space="preserve">,刘雪凝. </w:t>
      </w:r>
      <w:bookmarkStart w:id="7" w:name="OLE_LINK22"/>
      <w:bookmarkStart w:id="8" w:name="OLE_LINK45"/>
      <w:bookmarkStart w:id="9" w:name="OLE_LINK44"/>
      <w:r>
        <w:rPr>
          <w:rFonts w:eastAsia="方正仿宋_GBK"/>
          <w:sz w:val="32"/>
          <w:szCs w:val="32"/>
        </w:rPr>
        <w:t>百合杂交种及亲本耐热性比较</w:t>
      </w:r>
      <w:bookmarkEnd w:id="7"/>
      <w:r>
        <w:rPr>
          <w:rFonts w:eastAsia="方正仿宋_GBK"/>
          <w:sz w:val="32"/>
          <w:szCs w:val="32"/>
        </w:rPr>
        <w:t>[J]. 中国农业科学, 2011</w:t>
      </w:r>
      <w:bookmarkEnd w:id="8"/>
      <w:bookmarkEnd w:id="9"/>
      <w:r>
        <w:rPr>
          <w:rFonts w:eastAsia="方正仿宋_GBK"/>
          <w:sz w:val="32"/>
          <w:szCs w:val="32"/>
        </w:rPr>
        <w:t>,44(6):1201-1209</w:t>
      </w:r>
    </w:p>
    <w:p w14:paraId="5BA0A53A">
      <w:pPr>
        <w:snapToGrid w:val="0"/>
        <w:spacing w:line="600" w:lineRule="exact"/>
        <w:ind w:left="5" w:leftChars="1" w:hanging="3" w:hangingChars="1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17. 杨利平,李蕊,</w:t>
      </w:r>
      <w:r>
        <w:rPr>
          <w:rFonts w:eastAsia="方正仿宋_GBK"/>
          <w:kern w:val="0"/>
          <w:sz w:val="32"/>
          <w:szCs w:val="32"/>
        </w:rPr>
        <w:t>程千钉</w:t>
      </w:r>
      <w:r>
        <w:rPr>
          <w:rFonts w:eastAsia="方正仿宋_GBK"/>
          <w:sz w:val="32"/>
          <w:szCs w:val="32"/>
        </w:rPr>
        <w:t>. 百合远缘杂交育种及其真实性鉴定[J]. 植物遗传资源学报, 2011,12(6):896-903</w:t>
      </w:r>
    </w:p>
    <w:p w14:paraId="3CEF952A">
      <w:pPr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18. 杨利平</w:t>
      </w:r>
      <w:r>
        <w:rPr>
          <w:rFonts w:eastAsia="方正仿宋_GBK"/>
          <w:sz w:val="32"/>
          <w:szCs w:val="32"/>
        </w:rPr>
        <w:t>,</w:t>
      </w:r>
      <w:r>
        <w:rPr>
          <w:rFonts w:eastAsia="方正仿宋_GBK"/>
          <w:kern w:val="0"/>
          <w:sz w:val="32"/>
          <w:szCs w:val="32"/>
        </w:rPr>
        <w:t>李蕊. 百合亲本及其杂种幼苗对高温逆境的响应</w:t>
      </w:r>
      <w:r>
        <w:rPr>
          <w:rFonts w:eastAsia="方正仿宋_GBK"/>
          <w:sz w:val="32"/>
          <w:szCs w:val="32"/>
        </w:rPr>
        <w:t>[J]. 东北林业大学学报, 2012,40(12):63-66</w:t>
      </w:r>
    </w:p>
    <w:p w14:paraId="4E3A36BC">
      <w:pPr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19. 田忠平,杨利平*. 百合远缘杂交亲和性比较[J].河北农业大学学报,2013,36(4): 22-25.</w:t>
      </w:r>
    </w:p>
    <w:p w14:paraId="2A52B944">
      <w:pPr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20. 杨利平,符勇耀*,雷美艳. 百合新品种‘美妞’[J].园艺学报, 2019,46(9):1859-1860</w:t>
      </w:r>
    </w:p>
    <w:p w14:paraId="429A3FEB">
      <w:pPr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21. 刘洋,杨利平*. 朝鲜百合离体多倍体诱导[J].河北农业大学学报,2015,38(3): 30-33.</w:t>
      </w:r>
    </w:p>
    <w:p w14:paraId="09CEAC2B">
      <w:pPr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22.金永学,文爱华,范郁冰,等.蒸汽烫漂结合真空微波干燥工艺对龙牙百合粉品质的影响[J].食品工业科技,2021,42(06):144-150.</w:t>
      </w:r>
    </w:p>
    <w:p w14:paraId="1984502E">
      <w:pPr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23.</w:t>
      </w:r>
      <w:r>
        <w:rPr>
          <w:rFonts w:eastAsia="方正仿宋_GBK"/>
          <w:sz w:val="32"/>
          <w:szCs w:val="32"/>
        </w:rPr>
        <w:t xml:space="preserve"> Yongyao Fu,</w:t>
      </w:r>
      <w:r>
        <w:rPr>
          <w:rFonts w:hint="eastAsia" w:eastAsia="方正仿宋_GBK"/>
          <w:sz w:val="32"/>
          <w:szCs w:val="32"/>
        </w:rPr>
        <w:t>Xiaomeng Liang, Hong Zhang, Shiyuan Cheng, Anqin Li, Minjing Liao, Lang Tan, Liping Yang, Xiangying Qi.</w:t>
      </w:r>
      <w:r>
        <w:t xml:space="preserve"> </w:t>
      </w:r>
      <w:r>
        <w:rPr>
          <w:rFonts w:eastAsia="方正仿宋_GBK"/>
          <w:sz w:val="32"/>
          <w:szCs w:val="32"/>
        </w:rPr>
        <w:t>Establishment of an efficient regeneration system and in vitro polyploid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induction based on the bulblet centre in Lilium rosthornii Diels</w:t>
      </w:r>
      <w:r>
        <w:rPr>
          <w:rFonts w:hint="eastAsia" w:eastAsia="方正仿宋_GBK"/>
          <w:sz w:val="32"/>
          <w:szCs w:val="32"/>
        </w:rPr>
        <w:t>, 2024, 60: 508-522</w:t>
      </w:r>
    </w:p>
    <w:p w14:paraId="3292E886">
      <w:pPr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（三）新品种</w:t>
      </w:r>
    </w:p>
    <w:p w14:paraId="48EF2177">
      <w:pPr>
        <w:widowControl/>
        <w:tabs>
          <w:tab w:val="left" w:pos="822"/>
        </w:tabs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 雷美艳; 杨利平; 蒲盛才; 符勇耀; 杨成前; 百合新品种‘渝百合1号’, 重庆市农作物品种鉴定委员会, 2020-01-02, 渝品审鉴2019053</w:t>
      </w:r>
    </w:p>
    <w:p w14:paraId="18E3A255">
      <w:pPr>
        <w:widowControl/>
        <w:tabs>
          <w:tab w:val="left" w:pos="822"/>
        </w:tabs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 雷美艳; 杨利平; 符勇耀; 杨天建；百合新品种‘渝丹1号’, 中华人民共和国农业农村部, 2024-04-12, 品种权号:CNA20201000278</w:t>
      </w:r>
      <w:r>
        <w:rPr>
          <w:rFonts w:hint="eastAsia" w:eastAsia="方正仿宋_GBK"/>
          <w:sz w:val="32"/>
          <w:szCs w:val="32"/>
        </w:rPr>
        <w:t>（原</w:t>
      </w:r>
      <w:r>
        <w:rPr>
          <w:rFonts w:eastAsia="方正仿宋_GBK"/>
          <w:sz w:val="32"/>
          <w:szCs w:val="32"/>
        </w:rPr>
        <w:t>‘</w:t>
      </w:r>
      <w:r>
        <w:rPr>
          <w:rFonts w:hint="eastAsia" w:eastAsia="方正仿宋_GBK"/>
          <w:sz w:val="32"/>
          <w:szCs w:val="32"/>
        </w:rPr>
        <w:t>渝百合1号</w:t>
      </w:r>
      <w:r>
        <w:rPr>
          <w:rFonts w:eastAsia="方正仿宋_GBK"/>
          <w:sz w:val="32"/>
          <w:szCs w:val="32"/>
        </w:rPr>
        <w:t>’</w:t>
      </w:r>
      <w:r>
        <w:rPr>
          <w:rFonts w:hint="eastAsia" w:eastAsia="方正仿宋_GBK"/>
          <w:sz w:val="32"/>
          <w:szCs w:val="32"/>
        </w:rPr>
        <w:t>）</w:t>
      </w:r>
    </w:p>
    <w:p w14:paraId="6FD75105">
      <w:pPr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 符勇耀; 杨利平; 雷美艳; 百合新品种卷丹‘白鳞’, 长江师范学院，英国皇家园艺学会国际登录,  2022-11-01, Registrar S. Holme</w:t>
      </w:r>
    </w:p>
    <w:p w14:paraId="2F22EDAB">
      <w:pPr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 杨利平; 符勇耀; 李滨胜; 百合新品种‘丹红’, 长江师范学院，英国皇家园艺学会国际登录, 2020-11-25 Registrar S. Holme</w:t>
      </w:r>
    </w:p>
    <w:p w14:paraId="4B13E9B9">
      <w:pPr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. 杨利平; 符勇耀; 李滨胜; 百合新品种细叶百合‘赤焰’,长江师范学院，英国皇家园艺学会国际登录, 2018-09-17 Registrar D. R. Donald</w:t>
      </w:r>
    </w:p>
    <w:p w14:paraId="7A61E03F">
      <w:pPr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>. 符勇耀; 杨利平; 姜思佳; 焦丽; 百合新品种‘紫蝶’, 长江师范学院，英国皇家园艺学会国际登录, 2021-08-18 Registrar S. Holme</w:t>
      </w:r>
    </w:p>
    <w:p w14:paraId="1A0C2E17">
      <w:pPr>
        <w:snapToGrid w:val="0"/>
        <w:spacing w:line="600" w:lineRule="exact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（四）专利</w:t>
      </w:r>
    </w:p>
    <w:p w14:paraId="22E20F7A">
      <w:pPr>
        <w:snapToGrid w:val="0"/>
        <w:spacing w:line="600" w:lineRule="exact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（1）发明专利：</w:t>
      </w:r>
    </w:p>
    <w:p w14:paraId="6050D649">
      <w:pPr>
        <w:widowControl/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1. 符勇耀,杨利平,高海洪,李宏群,徐文姬. 一种百合珠芽脱毒快繁的方法，2020-12-15, 中国, ZL201910174933.5. </w:t>
      </w:r>
    </w:p>
    <w:p w14:paraId="183995A0">
      <w:pPr>
        <w:widowControl/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2. 符勇耀,杨利平,李宏群,刘建玲,彭慎敏.一种构建卷丹百合高效遗传转化体系的方法, 2020-08-11, 中国, ZL201910517284.4. </w:t>
      </w:r>
    </w:p>
    <w:p w14:paraId="742DCC33">
      <w:pPr>
        <w:widowControl/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3. 符勇耀,杨利平. 一种高效诱导百合多倍体的方法, 2020-06-30, 中国, ZL201810542205.0. </w:t>
      </w:r>
    </w:p>
    <w:p w14:paraId="1BFFBFC2">
      <w:pPr>
        <w:widowControl/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 符勇耀,杨利平,秦密,高海洪. 一种卷丹百合愈伤组织的诱导方法, 2020-02-07, 中国, ZL201810343821.3.</w:t>
      </w:r>
    </w:p>
    <w:p w14:paraId="3D6C3970">
      <w:pPr>
        <w:widowControl/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5. 文爱华，彭国平，文杰.百合蒸汽烘烤系统及方法,2024-06-11,中国，ZL202311768842.7</w:t>
      </w:r>
    </w:p>
    <w:p w14:paraId="79C915E5">
      <w:pPr>
        <w:widowControl/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>. 雷美艳,谭秋平,韩量,竭航,杨天健.一种南川百合的繁殖方法，2018-07-17，中国，ZL201810784058.8</w:t>
      </w:r>
    </w:p>
    <w:p w14:paraId="3259DA45">
      <w:pPr>
        <w:widowControl/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7</w:t>
      </w:r>
      <w:r>
        <w:rPr>
          <w:rFonts w:eastAsia="方正仿宋_GBK"/>
          <w:sz w:val="32"/>
          <w:szCs w:val="32"/>
        </w:rPr>
        <w:t>. 符勇耀,张豪,夏萍，刘虹伶,徐文姬,杨利平.一种基于百合鳞片叶尖的高温脱毒方法及其应用，2021-05-26，中国，ZL202110577947.9</w:t>
      </w:r>
    </w:p>
    <w:p w14:paraId="2A6DB4CD">
      <w:pPr>
        <w:widowControl/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（2）实用新型专利：</w:t>
      </w:r>
    </w:p>
    <w:p w14:paraId="7179DD33">
      <w:pPr>
        <w:widowControl/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1.易叶平，文杰，文爱华.一种防风效果好的晾晒架，2023-11-14，中国，ZL202321095091.2</w:t>
      </w:r>
    </w:p>
    <w:p w14:paraId="1F233A65">
      <w:pPr>
        <w:widowControl/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2.文杰；邹玉洪；易叶平.一种便于存取的烤房，2024-09-27，中国，ZL202323501461.0</w:t>
      </w:r>
    </w:p>
    <w:p w14:paraId="538D31E0">
      <w:pPr>
        <w:widowControl/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3.文杰.均匀刮平物料的输送装置，2024-06-04，中国，ZL202323263632.0</w:t>
      </w:r>
    </w:p>
    <w:p w14:paraId="657D2364">
      <w:pPr>
        <w:widowControl/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4.文杰.提升式风干机，2024-07-23，中国，ZL202323262543.4</w:t>
      </w:r>
    </w:p>
    <w:p w14:paraId="2C45AFA5">
      <w:pPr>
        <w:widowControl/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5.文爱华.浸泡清洗机，2024-07-26，中国，ZL202322985565.7</w:t>
      </w:r>
    </w:p>
    <w:p w14:paraId="677AA9E1">
      <w:pPr>
        <w:widowControl/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6.文杰.滚筒式分级机，2024-10-22，中国，ZL202420239409.8</w:t>
      </w:r>
    </w:p>
    <w:p w14:paraId="3C174815">
      <w:pPr>
        <w:widowControl/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（五）专著</w:t>
      </w:r>
    </w:p>
    <w:p w14:paraId="64351E40">
      <w:pPr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杨利平,符勇耀著.中国百合资源利用研究[M]. 哈尔滨:东北林业大学出版社,2018</w:t>
      </w:r>
    </w:p>
    <w:p w14:paraId="64D6682C">
      <w:pPr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（六）标准</w:t>
      </w:r>
    </w:p>
    <w:p w14:paraId="1067418B">
      <w:pPr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 卷丹种球质量分级(DB50/T 1401-2023)</w:t>
      </w:r>
    </w:p>
    <w:p w14:paraId="644A3800">
      <w:pPr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 百合（卷丹）种植技术规程（DB50/T 1596-2024）</w:t>
      </w:r>
    </w:p>
    <w:p w14:paraId="0E535549">
      <w:pPr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 百合（卷丹）采收与初加工技术规程（DB50/T 1595-2024）</w:t>
      </w:r>
    </w:p>
    <w:p w14:paraId="2DFB799C">
      <w:pPr>
        <w:snapToGrid w:val="0"/>
        <w:spacing w:line="600" w:lineRule="exact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（七）著作权</w:t>
      </w:r>
    </w:p>
    <w:p w14:paraId="23750FF8">
      <w:pPr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1.作品名称：得道药善-养身腊八粥（登记号渝作登字-2020-I-00484029）</w:t>
      </w:r>
    </w:p>
    <w:p w14:paraId="5CF25CB5">
      <w:pPr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2.作品名称：得道药善-酸栆仁饮（登记号渝作登字-2022-I-00090561）</w:t>
      </w:r>
    </w:p>
    <w:p w14:paraId="4A8674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NDVlYjMwYWYwMTIzM2ZhZjA4OTE4MjdhZjc5NjUifQ=="/>
  </w:docVars>
  <w:rsids>
    <w:rsidRoot w:val="00000000"/>
    <w:rsid w:val="2675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jc w:val="center"/>
      <w:outlineLvl w:val="0"/>
    </w:pPr>
    <w:rPr>
      <w:rFonts w:eastAsia="黑体"/>
      <w:kern w:val="44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2025-02-13T07:08:48Z</dcterms:created>
  <dc:creator>aaa</dc:creator>
  <cp:lastModifiedBy>Mr_Kids</cp:lastModifiedBy>
  <dcterms:modified xsi:type="dcterms:W3CDTF">2025-02-13T07:09:05Z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99300B5396524F379FB36F4A9EE2B46A_12</vt:lpwstr>
  </property>
</Properties>
</file>